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DC3528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35660A" w:rsidRPr="00CF5317">
        <w:rPr>
          <w:rFonts w:ascii="Times New Roman" w:eastAsia="Calibri" w:hAnsi="Times New Roman" w:cs="Times New Roman"/>
          <w:b/>
          <w:bCs/>
          <w:sz w:val="28"/>
          <w:szCs w:val="28"/>
        </w:rPr>
        <w:t>1</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3B1BBBD2"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 xml:space="preserve">F 4pm-5pm;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29FC839E" w14:textId="320137C3" w:rsidR="00A94411" w:rsidRDefault="00A94411" w:rsidP="00D3202F">
      <w:pPr>
        <w:widowControl w:val="0"/>
        <w:spacing w:after="0" w:line="240" w:lineRule="auto"/>
        <w:rPr>
          <w:rFonts w:ascii="Times New Roman" w:eastAsia="Calibri" w:hAnsi="Times New Roman" w:cs="Times New Roman"/>
          <w:b/>
        </w:rPr>
      </w:pP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287246A"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M/W/F 2:30 pm - 3:20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essentials of operating systems, network protocols for process communication, and synchronization</w:t>
      </w:r>
      <w:r w:rsidR="00AC0321"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Shared-memory vs. message-passing architectures; Computation models and Performance metrics; Parallel/distributed algorithm design - basic techniques; Parallel/distributed programming techniques and issues: partitioning, load balancing, synchronization, scheduling, message overheads, etc.</w:t>
      </w:r>
      <w:r w:rsidR="00AC0321"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w:t>
      </w:r>
      <w:r w:rsidR="00AC0321" w:rsidRPr="00826AD5">
        <w:rPr>
          <w:rFonts w:ascii="Times New Roman" w:eastAsia="Times New Roman" w:hAnsi="Times New Roman" w:cs="Times New Roman"/>
          <w:bCs/>
          <w:color w:val="000000" w:themeColor="text1"/>
        </w:rPr>
        <w:t>t</w:t>
      </w:r>
      <w:r w:rsidR="00AC0321" w:rsidRPr="00826AD5">
        <w:rPr>
          <w:rFonts w:ascii="Times New Roman" w:eastAsia="Times New Roman" w:hAnsi="Times New Roman" w:cs="Times New Roman"/>
          <w:bCs/>
          <w:color w:val="000000" w:themeColor="text1"/>
        </w:rPr>
        <w: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color w:val="000000"/>
          <w:sz w:val="32"/>
          <w:szCs w:val="32"/>
        </w:rPr>
        <w:lastRenderedPageBreak/>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olicies</w:t>
      </w:r>
      <w:r w:rsidRPr="00160B67">
        <w:rPr>
          <w:rFonts w:eastAsia="Arial"/>
          <w:b/>
          <w:color w:val="000000"/>
          <w:sz w:val="32"/>
          <w:szCs w:val="32"/>
        </w:rPr>
        <w:t xml:space="preserve">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139A355" w:rsidR="00160B67" w:rsidRPr="00CF5317" w:rsidRDefault="00160B67" w:rsidP="00BF4426">
            <w:pPr>
              <w:jc w:val="center"/>
              <w:rPr>
                <w:rFonts w:ascii="Times New Roman" w:hAnsi="Times New Roman" w:cs="Times New Roman"/>
              </w:rPr>
            </w:pPr>
            <w:r>
              <w:rPr>
                <w:rFonts w:ascii="Times New Roman" w:hAnsi="Times New Roman" w:cs="Times New Roman"/>
              </w:rPr>
              <w:t xml:space="preserve">Distributed </w:t>
            </w:r>
            <w:r>
              <w:rPr>
                <w:rFonts w:ascii="Times New Roman" w:hAnsi="Times New Roman" w:cs="Times New Roman"/>
              </w:rPr>
              <w:t>system I</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3EA54B6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rsidRPr="00CF5317" w14:paraId="33147C71" w14:textId="77777777" w:rsidTr="003E00D8">
        <w:trPr>
          <w:trHeight w:val="300"/>
          <w:jc w:val="center"/>
        </w:trPr>
        <w:tc>
          <w:tcPr>
            <w:tcW w:w="1215" w:type="dxa"/>
          </w:tcPr>
          <w:p w14:paraId="072BBBC4" w14:textId="039BE3D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1D926BE9" w14:textId="5668E2C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E00D8" w:rsidRPr="00CF5317" w14:paraId="3900D98A" w14:textId="77777777" w:rsidTr="003E00D8">
        <w:trPr>
          <w:trHeight w:val="300"/>
          <w:jc w:val="center"/>
        </w:trPr>
        <w:tc>
          <w:tcPr>
            <w:tcW w:w="1215" w:type="dxa"/>
          </w:tcPr>
          <w:p w14:paraId="33F6D843" w14:textId="10E342C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7545B471" w14:textId="094B9D9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1EADCBE3" w14:textId="77777777" w:rsidTr="003E00D8">
        <w:trPr>
          <w:trHeight w:val="281"/>
          <w:jc w:val="center"/>
        </w:trPr>
        <w:tc>
          <w:tcPr>
            <w:tcW w:w="1215" w:type="dxa"/>
          </w:tcPr>
          <w:p w14:paraId="70A64584" w14:textId="4844E7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ECD7C61" w14:textId="34E9BA3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77457665" w14:textId="77777777" w:rsidTr="003E00D8">
        <w:trPr>
          <w:trHeight w:val="300"/>
          <w:jc w:val="center"/>
        </w:trPr>
        <w:tc>
          <w:tcPr>
            <w:tcW w:w="1215" w:type="dxa"/>
          </w:tcPr>
          <w:p w14:paraId="0C73773E" w14:textId="365B4D0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896BDE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430FF09E" w14:textId="77777777" w:rsidTr="003E00D8">
        <w:trPr>
          <w:trHeight w:val="300"/>
          <w:jc w:val="center"/>
        </w:trPr>
        <w:tc>
          <w:tcPr>
            <w:tcW w:w="1215" w:type="dxa"/>
          </w:tcPr>
          <w:p w14:paraId="3EDC01DE" w14:textId="6683E3FB"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53981C7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53F4F4DC" w14:textId="77777777" w:rsidTr="003E00D8">
        <w:trPr>
          <w:trHeight w:val="300"/>
          <w:jc w:val="center"/>
        </w:trPr>
        <w:tc>
          <w:tcPr>
            <w:tcW w:w="1215" w:type="dxa"/>
          </w:tcPr>
          <w:p w14:paraId="558EB331" w14:textId="37449EE8"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3DC4049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E00D8" w:rsidRPr="00CF5317" w:rsidRDefault="003E00D8"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w:t>
      </w:r>
      <w:r>
        <w:rPr>
          <w:rFonts w:eastAsia="Arial"/>
          <w:b/>
          <w:color w:val="000000"/>
          <w:sz w:val="32"/>
          <w:szCs w:val="32"/>
        </w:rPr>
        <w:t>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BF4426"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BF4426"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BF4426"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BF4426"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BF4426" w:rsidP="00BF4426">
      <w:pPr>
        <w:widowControl w:val="0"/>
        <w:numPr>
          <w:ilvl w:val="1"/>
          <w:numId w:val="1"/>
        </w:numPr>
        <w:spacing w:after="0" w:line="240" w:lineRule="auto"/>
        <w:ind w:left="810"/>
      </w:pPr>
      <w:hyperlink r:id="rId17" w:history="1">
        <w:r w:rsidR="00C135B3" w:rsidRPr="00BF4426">
          <w:t>http://w</w:t>
        </w:r>
        <w:r w:rsidR="00C135B3" w:rsidRPr="00BF4426">
          <w:t>w</w:t>
        </w:r>
        <w:r w:rsidR="00C135B3" w:rsidRPr="00BF4426">
          <w:t>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BF4426"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BF4426"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BF4426"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BF4426"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BF4426"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BF4426"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BF4426"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BF4426"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BF4426"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BF4426"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BF4426"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BF4426"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5</cp:revision>
  <cp:lastPrinted>2021-08-04T22:10:00Z</cp:lastPrinted>
  <dcterms:created xsi:type="dcterms:W3CDTF">2021-08-04T22:10:00Z</dcterms:created>
  <dcterms:modified xsi:type="dcterms:W3CDTF">2021-08-09T16:48:00Z</dcterms:modified>
</cp:coreProperties>
</file>