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57B5958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4504</w:t>
      </w:r>
      <w:r w:rsidR="000A75C4">
        <w:rPr>
          <w:rFonts w:ascii="Times New Roman" w:eastAsia="Calibri" w:hAnsi="Times New Roman" w:cs="Times New Roman"/>
          <w:b/>
          <w:bCs/>
          <w:sz w:val="28"/>
          <w:szCs w:val="28"/>
        </w:rPr>
        <w:t>/03</w:t>
      </w:r>
      <w:r w:rsidR="0035660A" w:rsidRPr="00CF5317">
        <w:rPr>
          <w:rFonts w:ascii="Times New Roman" w:eastAsia="Calibri" w:hAnsi="Times New Roman" w:cs="Times New Roman"/>
          <w:b/>
          <w:bCs/>
          <w:sz w:val="28"/>
          <w:szCs w:val="28"/>
        </w:rPr>
        <w:t xml:space="preserve">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101AD33"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F20549">
        <w:rPr>
          <w:rFonts w:ascii="Times New Roman" w:eastAsia="Calibri" w:hAnsi="Times New Roman" w:cs="Times New Roman"/>
          <w:b/>
          <w:bCs/>
          <w:sz w:val="28"/>
          <w:szCs w:val="28"/>
        </w:rPr>
        <w:t>2</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182BCD31"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F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 xml:space="preserve">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29FC839E" w14:textId="320137C3" w:rsidR="00A94411" w:rsidRDefault="00A94411" w:rsidP="00D3202F">
      <w:pPr>
        <w:widowControl w:val="0"/>
        <w:spacing w:after="0" w:line="240" w:lineRule="auto"/>
        <w:rPr>
          <w:rFonts w:ascii="Times New Roman" w:eastAsia="Calibri" w:hAnsi="Times New Roman" w:cs="Times New Roman"/>
          <w:b/>
        </w:rPr>
      </w:pP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60EA2640"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9F47DD" w:rsidRPr="00571711">
        <w:rPr>
          <w:rFonts w:ascii="Times New Roman" w:eastAsia="Calibri" w:hAnsi="Times New Roman" w:cs="Times New Roman"/>
          <w:b/>
          <w:bCs/>
        </w:rPr>
        <w:t xml:space="preserve">M/W/F </w:t>
      </w:r>
      <w:r w:rsidR="00F20549">
        <w:rPr>
          <w:rFonts w:ascii="Times New Roman" w:eastAsia="Calibri" w:hAnsi="Times New Roman" w:cs="Times New Roman"/>
          <w:b/>
          <w:bCs/>
        </w:rPr>
        <w:t>11</w:t>
      </w:r>
      <w:r w:rsidR="009F47DD" w:rsidRPr="00571711">
        <w:rPr>
          <w:rFonts w:ascii="Times New Roman" w:eastAsia="Calibri" w:hAnsi="Times New Roman" w:cs="Times New Roman"/>
          <w:b/>
          <w:bCs/>
        </w:rPr>
        <w:t>:</w:t>
      </w:r>
      <w:r w:rsidR="00F20549">
        <w:rPr>
          <w:rFonts w:ascii="Times New Roman" w:eastAsia="Calibri" w:hAnsi="Times New Roman" w:cs="Times New Roman"/>
          <w:b/>
          <w:bCs/>
        </w:rPr>
        <w:t>15</w:t>
      </w:r>
      <w:r w:rsidR="009F47DD" w:rsidRPr="00571711">
        <w:rPr>
          <w:rFonts w:ascii="Times New Roman" w:eastAsia="Calibri" w:hAnsi="Times New Roman" w:cs="Times New Roman"/>
          <w:b/>
          <w:bCs/>
        </w:rPr>
        <w:t xml:space="preserve"> </w:t>
      </w:r>
      <w:r w:rsidR="00F20549">
        <w:rPr>
          <w:rFonts w:ascii="Times New Roman" w:eastAsia="Calibri" w:hAnsi="Times New Roman" w:cs="Times New Roman"/>
          <w:b/>
          <w:bCs/>
        </w:rPr>
        <w:t>a</w:t>
      </w:r>
      <w:r w:rsidR="009F47DD" w:rsidRPr="00571711">
        <w:rPr>
          <w:rFonts w:ascii="Times New Roman" w:eastAsia="Calibri" w:hAnsi="Times New Roman" w:cs="Times New Roman"/>
          <w:b/>
          <w:bCs/>
        </w:rPr>
        <w:t xml:space="preserve">m - </w:t>
      </w:r>
      <w:r w:rsidR="00F20549">
        <w:rPr>
          <w:rFonts w:ascii="Times New Roman" w:eastAsia="Calibri" w:hAnsi="Times New Roman" w:cs="Times New Roman"/>
          <w:b/>
          <w:bCs/>
        </w:rPr>
        <w:t>12</w:t>
      </w:r>
      <w:r w:rsidR="009F47DD" w:rsidRPr="00571711">
        <w:rPr>
          <w:rFonts w:ascii="Times New Roman" w:eastAsia="Calibri" w:hAnsi="Times New Roman" w:cs="Times New Roman"/>
          <w:b/>
          <w:bCs/>
        </w:rPr>
        <w:t>:</w:t>
      </w:r>
      <w:r w:rsidR="00F20549">
        <w:rPr>
          <w:rFonts w:ascii="Times New Roman" w:eastAsia="Calibri" w:hAnsi="Times New Roman" w:cs="Times New Roman"/>
          <w:b/>
          <w:bCs/>
        </w:rPr>
        <w:t>05</w:t>
      </w:r>
      <w:r w:rsidR="009F47DD" w:rsidRPr="00571711">
        <w:rPr>
          <w:rFonts w:ascii="Times New Roman" w:eastAsia="Calibri" w:hAnsi="Times New Roman" w:cs="Times New Roman"/>
          <w:b/>
          <w:bCs/>
        </w:rPr>
        <w:t xml:space="preserve"> pm</w:t>
      </w:r>
    </w:p>
    <w:p w14:paraId="00A6E34B" w14:textId="2315912D"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9F47DD">
        <w:rPr>
          <w:rFonts w:ascii="Times New Roman" w:eastAsia="Times New Roman" w:hAnsi="Times New Roman" w:cs="Times New Roman"/>
          <w:b/>
          <w:bCs/>
        </w:rPr>
        <w:t>J</w:t>
      </w:r>
      <w:r w:rsidR="004B27DA">
        <w:rPr>
          <w:rFonts w:ascii="Times New Roman" w:eastAsia="Times New Roman" w:hAnsi="Times New Roman" w:cs="Times New Roman"/>
          <w:b/>
          <w:bCs/>
        </w:rPr>
        <w:t xml:space="preserve"> </w:t>
      </w:r>
      <w:r w:rsidR="009F47DD">
        <w:rPr>
          <w:rFonts w:ascii="Times New Roman" w:eastAsia="Times New Roman" w:hAnsi="Times New Roman" w:cs="Times New Roman"/>
          <w:b/>
          <w:bCs/>
        </w:rPr>
        <w:t>110</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139A355"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3EA54B6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3A7EE2" w:rsidRPr="00CF5317" w14:paraId="33147C71" w14:textId="77777777" w:rsidTr="00E60F53">
        <w:trPr>
          <w:trHeight w:val="300"/>
          <w:jc w:val="center"/>
        </w:trPr>
        <w:tc>
          <w:tcPr>
            <w:tcW w:w="1215" w:type="dxa"/>
          </w:tcPr>
          <w:p w14:paraId="072BBBC4" w14:textId="039BE3D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4A678068" w14:textId="03614C1D"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P4</w:t>
            </w:r>
          </w:p>
        </w:tc>
        <w:tc>
          <w:tcPr>
            <w:tcW w:w="1215" w:type="dxa"/>
          </w:tcPr>
          <w:p w14:paraId="1D926BE9" w14:textId="0DE2A1D7"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A7EE2" w:rsidRPr="00CF5317" w14:paraId="3900D98A" w14:textId="77777777" w:rsidTr="00E60F53">
        <w:trPr>
          <w:trHeight w:val="300"/>
          <w:jc w:val="center"/>
        </w:trPr>
        <w:tc>
          <w:tcPr>
            <w:tcW w:w="1215" w:type="dxa"/>
          </w:tcPr>
          <w:p w14:paraId="33F6D843" w14:textId="10E342C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E341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7545B471" w14:textId="7FB604AC"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1EADCBE3" w14:textId="77777777" w:rsidTr="00E60F53">
        <w:trPr>
          <w:trHeight w:val="281"/>
          <w:jc w:val="center"/>
        </w:trPr>
        <w:tc>
          <w:tcPr>
            <w:tcW w:w="1215" w:type="dxa"/>
          </w:tcPr>
          <w:p w14:paraId="70A64584" w14:textId="4844E7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C30A8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ECD7C61" w14:textId="5B814F1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77457665" w14:textId="77777777" w:rsidTr="00E60F53">
        <w:trPr>
          <w:trHeight w:val="300"/>
          <w:jc w:val="center"/>
        </w:trPr>
        <w:tc>
          <w:tcPr>
            <w:tcW w:w="1215" w:type="dxa"/>
          </w:tcPr>
          <w:p w14:paraId="0C73773E" w14:textId="365B4D0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D61501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896BDED" w14:textId="7778B91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430FF09E" w14:textId="77777777" w:rsidTr="00E60F53">
        <w:trPr>
          <w:trHeight w:val="300"/>
          <w:jc w:val="center"/>
        </w:trPr>
        <w:tc>
          <w:tcPr>
            <w:tcW w:w="1215" w:type="dxa"/>
          </w:tcPr>
          <w:p w14:paraId="3EDC01DE" w14:textId="6683E3FB"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E9F8D2" w14:textId="30043DB8"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3981C73" w14:textId="494B618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53F4F4DC" w14:textId="77777777" w:rsidTr="00E60F53">
        <w:trPr>
          <w:trHeight w:val="300"/>
          <w:jc w:val="center"/>
        </w:trPr>
        <w:tc>
          <w:tcPr>
            <w:tcW w:w="1215" w:type="dxa"/>
          </w:tcPr>
          <w:p w14:paraId="558EB331" w14:textId="37449EE8"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FE945DF" w14:textId="2867C52E"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3DC40493" w14:textId="09FB7CA4"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A7EE2" w:rsidRPr="00CF5317" w:rsidRDefault="003A7EE2"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0A75C4"/>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A7EE2"/>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2795</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8</cp:revision>
  <cp:lastPrinted>2021-08-04T22:10:00Z</cp:lastPrinted>
  <dcterms:created xsi:type="dcterms:W3CDTF">2021-08-04T22:10:00Z</dcterms:created>
  <dcterms:modified xsi:type="dcterms:W3CDTF">2022-12-08T16:03:00Z</dcterms:modified>
</cp:coreProperties>
</file>