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19AD4531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74439A6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F646EC4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4AFA50C2" w14:textId="77777777" w:rsidR="0005623E" w:rsidRPr="00B058D1" w:rsidRDefault="0005623E" w:rsidP="0005623E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7FF9108B" w14:textId="77777777" w:rsidR="0005623E" w:rsidRDefault="0005623E" w:rsidP="0005623E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. . . ,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4E0FF6F9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>
        <w:rPr>
          <w:rFonts w:cstheme="minorHAnsi"/>
        </w:rPr>
        <w:t>5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The reject state and the transition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is not highlighted in the above figure. If there is no outgoing transition for a given state, it goes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D646A3B" w14:textId="77777777" w:rsidR="003E30FE" w:rsidRDefault="003E30FE" w:rsidP="00C80F0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40C5BB3" w14:textId="2E4A69AB" w:rsidR="007F08BF" w:rsidRDefault="007F08BF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 xml:space="preserve">{w| w contains twice as many 0s as 1s} </w:t>
      </w:r>
      <w:r>
        <w:rPr>
          <w:rFonts w:asciiTheme="minorHAnsi" w:hAnsiTheme="minorHAnsi" w:cstheme="minorHAnsi"/>
        </w:rPr>
        <w:t xml:space="preserve">,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FC6A9A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5366AC9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43419D" w14:textId="5F4F9122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>| G is a CFG that generates ε}. Show that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25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3390FB5" w14:textId="77777777" w:rsidR="005B4568" w:rsidRDefault="005B4568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2DE13DBE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</w:p>
    <w:p w14:paraId="3F4BF552" w14:textId="0A4459DF" w:rsidR="008D76E3" w:rsidRPr="009A3C5D" w:rsidRDefault="008D76E3" w:rsidP="003E30FE">
      <w:pPr>
        <w:pStyle w:val="SectionProblem"/>
        <w:numPr>
          <w:ilvl w:val="0"/>
          <w:numId w:val="2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DFA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AA626F">
        <w:rPr>
          <w:rFonts w:asciiTheme="minorHAnsi" w:hAnsiTheme="minorHAnsi" w:cstheme="minorHAnsi"/>
          <w:lang w:val="en-AU"/>
        </w:rPr>
        <w:t>25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4"/>
  </w:num>
  <w:num w:numId="13">
    <w:abstractNumId w:val="22"/>
  </w:num>
  <w:num w:numId="14">
    <w:abstractNumId w:val="18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7"/>
  </w:num>
  <w:num w:numId="20">
    <w:abstractNumId w:val="10"/>
  </w:num>
  <w:num w:numId="21">
    <w:abstractNumId w:val="19"/>
  </w:num>
  <w:num w:numId="22">
    <w:abstractNumId w:val="17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5623E"/>
    <w:rsid w:val="0011358E"/>
    <w:rsid w:val="00180108"/>
    <w:rsid w:val="001A0844"/>
    <w:rsid w:val="00215CDB"/>
    <w:rsid w:val="002D23AB"/>
    <w:rsid w:val="00353F3F"/>
    <w:rsid w:val="00386634"/>
    <w:rsid w:val="003B1E64"/>
    <w:rsid w:val="003E30FE"/>
    <w:rsid w:val="003E745C"/>
    <w:rsid w:val="00442B78"/>
    <w:rsid w:val="004733B5"/>
    <w:rsid w:val="00485625"/>
    <w:rsid w:val="00493921"/>
    <w:rsid w:val="00497418"/>
    <w:rsid w:val="004F0AB1"/>
    <w:rsid w:val="00526E70"/>
    <w:rsid w:val="005B4568"/>
    <w:rsid w:val="00617F4C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D76E3"/>
    <w:rsid w:val="00923B81"/>
    <w:rsid w:val="009B2F64"/>
    <w:rsid w:val="009C38C8"/>
    <w:rsid w:val="00A23EB8"/>
    <w:rsid w:val="00AA626F"/>
    <w:rsid w:val="00B179FB"/>
    <w:rsid w:val="00BD56A7"/>
    <w:rsid w:val="00C03101"/>
    <w:rsid w:val="00C763E7"/>
    <w:rsid w:val="00C80F04"/>
    <w:rsid w:val="00CA7165"/>
    <w:rsid w:val="00CB0805"/>
    <w:rsid w:val="00CE7EFB"/>
    <w:rsid w:val="00D766A7"/>
    <w:rsid w:val="00DD4E7C"/>
    <w:rsid w:val="00EB2FEE"/>
    <w:rsid w:val="00F4189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52</cp:revision>
  <cp:lastPrinted>2015-02-05T05:09:00Z</cp:lastPrinted>
  <dcterms:created xsi:type="dcterms:W3CDTF">2015-01-31T04:54:00Z</dcterms:created>
  <dcterms:modified xsi:type="dcterms:W3CDTF">2022-03-30T22:11:00Z</dcterms:modified>
</cp:coreProperties>
</file>