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8CF2779"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33235C8E" w:rsidR="00A94411" w:rsidRPr="00247C1F" w:rsidRDefault="00ED4B39"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Summer</w:t>
      </w:r>
      <w:r w:rsidR="13A3042A" w:rsidRPr="00247C1F">
        <w:rPr>
          <w:rFonts w:eastAsia="Times New Roman" w:cstheme="minorHAnsi"/>
          <w:b/>
          <w:bCs/>
          <w:sz w:val="32"/>
          <w:szCs w:val="32"/>
        </w:rPr>
        <w:t xml:space="preserve"> </w:t>
      </w:r>
      <w:r w:rsidR="00705582">
        <w:rPr>
          <w:rFonts w:eastAsia="Times New Roman" w:cstheme="minorHAnsi"/>
          <w:b/>
          <w:bCs/>
          <w:sz w:val="32"/>
          <w:szCs w:val="32"/>
        </w:rPr>
        <w:t>2024</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0BF948A1" w:rsidR="00A00B12" w:rsidRPr="00A00B12" w:rsidRDefault="00A00B12" w:rsidP="00247C1F">
      <w:pPr>
        <w:widowControl w:val="0"/>
        <w:spacing w:after="0" w:line="240" w:lineRule="auto"/>
        <w:jc w:val="both"/>
        <w:rPr>
          <w:rFonts w:eastAsia="Times New Roman" w:cstheme="minorHAnsi"/>
          <w:b/>
          <w:bCs/>
          <w:lang w:eastAsia="zh-CN"/>
        </w:rPr>
      </w:pPr>
      <w:r w:rsidRPr="00A00B12">
        <w:rPr>
          <w:rFonts w:eastAsia="Times New Roman" w:cstheme="minorHAnsi"/>
          <w:b/>
          <w:bCs/>
        </w:rPr>
        <w:t xml:space="preserve">Office Hours: T, Th </w:t>
      </w:r>
      <w:r w:rsidR="00732122">
        <w:rPr>
          <w:rFonts w:eastAsia="Times New Roman" w:cstheme="minorHAnsi"/>
          <w:b/>
          <w:bCs/>
        </w:rPr>
        <w:t>3</w:t>
      </w:r>
      <w:r w:rsidRPr="00A00B12">
        <w:rPr>
          <w:rFonts w:eastAsia="Times New Roman" w:cstheme="minorHAnsi"/>
          <w:b/>
          <w:bCs/>
        </w:rPr>
        <w:t xml:space="preserve">:00 p.m. – </w:t>
      </w:r>
      <w:r w:rsidR="00732122">
        <w:rPr>
          <w:rFonts w:eastAsia="Times New Roman" w:cstheme="minorHAnsi"/>
          <w:b/>
          <w:bCs/>
        </w:rPr>
        <w:t>4</w:t>
      </w:r>
      <w:r w:rsidRPr="00A00B12">
        <w:rPr>
          <w:rFonts w:eastAsia="Times New Roman" w:cstheme="minorHAnsi"/>
          <w:b/>
          <w:bCs/>
        </w:rPr>
        <w:t>:00 p.m. and by appointment</w:t>
      </w:r>
      <w:r w:rsidR="001F1045">
        <w:rPr>
          <w:rFonts w:eastAsia="Times New Roman" w:cstheme="minorHAnsi" w:hint="eastAsia"/>
          <w:b/>
          <w:bCs/>
          <w:lang w:eastAsia="zh-CN"/>
        </w:rPr>
        <w:t xml:space="preserve"> and</w:t>
      </w:r>
      <w:r w:rsidR="001F1045">
        <w:rPr>
          <w:rFonts w:eastAsia="Times New Roman" w:cstheme="minorHAnsi"/>
          <w:b/>
          <w:bCs/>
          <w:lang w:eastAsia="zh-CN"/>
        </w:rPr>
        <w:t xml:space="preserve"> MS Teams</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55F705D0" w14:textId="3342075F" w:rsidR="00A94411" w:rsidRDefault="13A3042A" w:rsidP="006921B0">
      <w:pPr>
        <w:rPr>
          <w:rFonts w:eastAsia="Times New Roman" w:cstheme="minorHAnsi"/>
          <w:b/>
          <w:bCs/>
        </w:rPr>
      </w:pPr>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38635B" w:rsidRPr="00577132">
          <w:rPr>
            <w:rStyle w:val="Hyperlink"/>
            <w:rFonts w:eastAsia="Times New Roman" w:cstheme="minorHAnsi"/>
            <w:b/>
            <w:bCs/>
          </w:rPr>
          <w:t>https://kevinsuo.github.io/teaching/</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40E30002" w14:textId="57B66C20" w:rsidR="00ED4B39" w:rsidRDefault="00ED4B39" w:rsidP="00247C1F">
      <w:pPr>
        <w:widowControl w:val="0"/>
        <w:autoSpaceDN w:val="0"/>
        <w:spacing w:after="0" w:line="240" w:lineRule="auto"/>
        <w:jc w:val="both"/>
        <w:rPr>
          <w:rFonts w:eastAsia="Times New Roman" w:cstheme="minorHAnsi"/>
          <w:b/>
          <w:bCs/>
        </w:rPr>
      </w:pPr>
      <w:r>
        <w:rPr>
          <w:rFonts w:eastAsia="Times New Roman" w:cstheme="minorHAnsi"/>
          <w:b/>
          <w:bCs/>
        </w:rPr>
        <w:t>Hardware Requirement</w:t>
      </w:r>
    </w:p>
    <w:p w14:paraId="0C5EF852" w14:textId="21A04B3E" w:rsidR="00ED4B39" w:rsidRDefault="00ED4B39" w:rsidP="00ED4B39">
      <w:pPr>
        <w:widowControl w:val="0"/>
        <w:autoSpaceDN w:val="0"/>
        <w:spacing w:after="0" w:line="240" w:lineRule="auto"/>
        <w:jc w:val="both"/>
        <w:rPr>
          <w:rFonts w:eastAsia="Times New Roman" w:cstheme="minorHAnsi"/>
        </w:rPr>
      </w:pPr>
      <w:r>
        <w:rPr>
          <w:rFonts w:eastAsia="Times New Roman" w:cstheme="minorHAnsi"/>
        </w:rPr>
        <w:t>Due to the COVID-19, all courses, homework and projects will be moved onto D2L and the webcam is not required for the students.</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1530"/>
        <w:gridCol w:w="1530"/>
      </w:tblGrid>
      <w:tr w:rsidR="0038635B"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38635B" w:rsidRPr="00247C1F" w:rsidRDefault="0038635B" w:rsidP="00247C1F">
            <w:pPr>
              <w:jc w:val="center"/>
              <w:rPr>
                <w:rFonts w:cstheme="minorHAnsi"/>
              </w:rPr>
            </w:pPr>
            <w:r w:rsidRPr="00247C1F">
              <w:rPr>
                <w:rFonts w:eastAsia="Times New Roman" w:cstheme="minorHAnsi"/>
              </w:rPr>
              <w:t>Week/Date</w:t>
            </w:r>
          </w:p>
        </w:tc>
        <w:tc>
          <w:tcPr>
            <w:tcW w:w="3160" w:type="dxa"/>
          </w:tcPr>
          <w:p w14:paraId="36929714" w14:textId="78CF5C7A"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5408D366" w14:textId="5F29D481"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38635B"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38635B" w:rsidRPr="00247C1F" w:rsidRDefault="0038635B" w:rsidP="00247C1F">
            <w:pPr>
              <w:jc w:val="center"/>
              <w:rPr>
                <w:rFonts w:cstheme="minorHAnsi"/>
              </w:rPr>
            </w:pPr>
            <w:r w:rsidRPr="00247C1F">
              <w:rPr>
                <w:rFonts w:eastAsia="Times New Roman" w:cstheme="minorHAnsi"/>
              </w:rPr>
              <w:t>1</w:t>
            </w:r>
          </w:p>
        </w:tc>
        <w:tc>
          <w:tcPr>
            <w:tcW w:w="3160" w:type="dxa"/>
          </w:tcPr>
          <w:p w14:paraId="203FEF81" w14:textId="74C4249E" w:rsidR="0038635B" w:rsidRPr="00247C1F" w:rsidRDefault="0038635B"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22A6C77A" w14:textId="6691F78A"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38635B" w:rsidRPr="00247C1F" w:rsidRDefault="0038635B" w:rsidP="0038635B">
            <w:pPr>
              <w:jc w:val="center"/>
              <w:rPr>
                <w:rFonts w:cstheme="minorHAnsi"/>
              </w:rPr>
            </w:pPr>
            <w:r w:rsidRPr="00247C1F">
              <w:rPr>
                <w:rFonts w:eastAsia="Times New Roman" w:cstheme="minorHAnsi"/>
              </w:rPr>
              <w:lastRenderedPageBreak/>
              <w:t>2</w:t>
            </w:r>
          </w:p>
        </w:tc>
        <w:tc>
          <w:tcPr>
            <w:tcW w:w="3160" w:type="dxa"/>
          </w:tcPr>
          <w:p w14:paraId="74886E55" w14:textId="11B7CC58"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52C345D" w14:textId="08D24CA4"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3F31FE06"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38635B"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38635B" w:rsidRPr="00247C1F" w:rsidRDefault="0038635B" w:rsidP="0038635B">
            <w:pPr>
              <w:jc w:val="center"/>
              <w:rPr>
                <w:rFonts w:cstheme="minorHAnsi"/>
              </w:rPr>
            </w:pPr>
            <w:r w:rsidRPr="00247C1F">
              <w:rPr>
                <w:rFonts w:eastAsia="Times New Roman" w:cstheme="minorHAnsi"/>
              </w:rPr>
              <w:t>3</w:t>
            </w:r>
          </w:p>
        </w:tc>
        <w:tc>
          <w:tcPr>
            <w:tcW w:w="3160" w:type="dxa"/>
          </w:tcPr>
          <w:p w14:paraId="32C4C01E" w14:textId="06B28920"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34B8B98F" w14:textId="06D2EB73"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38635B" w:rsidRPr="00247C1F" w:rsidRDefault="0038635B" w:rsidP="0038635B">
            <w:pPr>
              <w:jc w:val="center"/>
              <w:rPr>
                <w:rFonts w:cstheme="minorHAnsi"/>
              </w:rPr>
            </w:pPr>
            <w:r w:rsidRPr="00247C1F">
              <w:rPr>
                <w:rFonts w:eastAsia="Times New Roman" w:cstheme="minorHAnsi"/>
              </w:rPr>
              <w:t>4</w:t>
            </w:r>
          </w:p>
        </w:tc>
        <w:tc>
          <w:tcPr>
            <w:tcW w:w="3160" w:type="dxa"/>
          </w:tcPr>
          <w:p w14:paraId="6BB17837" w14:textId="765FC505" w:rsidR="0038635B" w:rsidRPr="00247C1F" w:rsidRDefault="0038635B" w:rsidP="0038635B">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Lock, Pthread</w:t>
            </w:r>
          </w:p>
        </w:tc>
        <w:tc>
          <w:tcPr>
            <w:tcW w:w="1530" w:type="dxa"/>
          </w:tcPr>
          <w:p w14:paraId="74344B2A" w14:textId="29A23218"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7C3B087" w14:textId="242B8B0B"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38635B" w:rsidRPr="00247C1F" w:rsidRDefault="0038635B" w:rsidP="0038635B">
            <w:pPr>
              <w:jc w:val="center"/>
              <w:rPr>
                <w:rFonts w:cstheme="minorHAnsi"/>
              </w:rPr>
            </w:pPr>
            <w:r w:rsidRPr="00247C1F">
              <w:rPr>
                <w:rFonts w:eastAsia="Times New Roman" w:cstheme="minorHAnsi"/>
              </w:rPr>
              <w:t>5</w:t>
            </w:r>
          </w:p>
        </w:tc>
        <w:tc>
          <w:tcPr>
            <w:tcW w:w="3160" w:type="dxa"/>
          </w:tcPr>
          <w:p w14:paraId="39D18BD0" w14:textId="1FE9341F"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462F76C8" w14:textId="4F4A7C9F"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2A8F9D1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38635B"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38635B" w:rsidRPr="00247C1F" w:rsidRDefault="0038635B" w:rsidP="0038635B">
            <w:pPr>
              <w:jc w:val="center"/>
              <w:rPr>
                <w:rFonts w:cstheme="minorHAnsi"/>
              </w:rPr>
            </w:pPr>
            <w:r w:rsidRPr="00247C1F">
              <w:rPr>
                <w:rFonts w:eastAsia="Times New Roman" w:cstheme="minorHAnsi"/>
              </w:rPr>
              <w:t>6</w:t>
            </w:r>
          </w:p>
        </w:tc>
        <w:tc>
          <w:tcPr>
            <w:tcW w:w="3160" w:type="dxa"/>
          </w:tcPr>
          <w:p w14:paraId="28207649" w14:textId="67737BD7"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6E630BA2" w14:textId="779BB195"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38635B" w:rsidRPr="00247C1F" w:rsidRDefault="0038635B" w:rsidP="0038635B">
            <w:pPr>
              <w:jc w:val="center"/>
              <w:rPr>
                <w:rFonts w:cstheme="minorHAnsi"/>
              </w:rPr>
            </w:pPr>
            <w:r w:rsidRPr="00247C1F">
              <w:rPr>
                <w:rFonts w:eastAsia="Times New Roman" w:cstheme="minorHAnsi"/>
              </w:rPr>
              <w:t>7</w:t>
            </w:r>
          </w:p>
        </w:tc>
        <w:tc>
          <w:tcPr>
            <w:tcW w:w="3160" w:type="dxa"/>
          </w:tcPr>
          <w:p w14:paraId="7A8D7866" w14:textId="44F289F5"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6F90EF98" w14:textId="0DEC17D2"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548A2EBE" w14:textId="4A893CDE"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38635B" w:rsidRPr="00247C1F" w:rsidRDefault="0038635B" w:rsidP="0038635B">
            <w:pPr>
              <w:jc w:val="center"/>
              <w:rPr>
                <w:rFonts w:cstheme="minorHAnsi"/>
              </w:rPr>
            </w:pPr>
            <w:r w:rsidRPr="00247C1F">
              <w:rPr>
                <w:rFonts w:eastAsia="Times New Roman" w:cstheme="minorHAnsi"/>
              </w:rPr>
              <w:t>8</w:t>
            </w:r>
          </w:p>
        </w:tc>
        <w:tc>
          <w:tcPr>
            <w:tcW w:w="3160" w:type="dxa"/>
          </w:tcPr>
          <w:p w14:paraId="2903849F" w14:textId="6F450383"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1FBF60D4" w14:textId="1B97B690"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000000"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000000"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000000"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000000"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000000"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000000"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000000"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lastRenderedPageBreak/>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000000"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000000"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000000"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000000"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000000"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000000"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B118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auto"/>
    <w:pitch w:val="variable"/>
    <w:sig w:usb0="E00002FF" w:usb1="5000205A" w:usb2="00000000" w:usb3="00000000" w:csb0="0000019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856191820">
    <w:abstractNumId w:val="11"/>
  </w:num>
  <w:num w:numId="2" w16cid:durableId="1832138349">
    <w:abstractNumId w:val="27"/>
  </w:num>
  <w:num w:numId="3" w16cid:durableId="2110619637">
    <w:abstractNumId w:val="4"/>
  </w:num>
  <w:num w:numId="4" w16cid:durableId="1612740401">
    <w:abstractNumId w:val="8"/>
  </w:num>
  <w:num w:numId="5" w16cid:durableId="270432591">
    <w:abstractNumId w:val="22"/>
  </w:num>
  <w:num w:numId="6" w16cid:durableId="1460997531">
    <w:abstractNumId w:val="18"/>
  </w:num>
  <w:num w:numId="7" w16cid:durableId="945428869">
    <w:abstractNumId w:val="20"/>
  </w:num>
  <w:num w:numId="8" w16cid:durableId="263728929">
    <w:abstractNumId w:val="28"/>
  </w:num>
  <w:num w:numId="9" w16cid:durableId="961303872">
    <w:abstractNumId w:val="25"/>
  </w:num>
  <w:num w:numId="10" w16cid:durableId="1784961767">
    <w:abstractNumId w:val="10"/>
  </w:num>
  <w:num w:numId="11" w16cid:durableId="873233084">
    <w:abstractNumId w:val="29"/>
  </w:num>
  <w:num w:numId="12" w16cid:durableId="1453212492">
    <w:abstractNumId w:val="2"/>
  </w:num>
  <w:num w:numId="13" w16cid:durableId="2119525115">
    <w:abstractNumId w:val="19"/>
  </w:num>
  <w:num w:numId="14" w16cid:durableId="1101413893">
    <w:abstractNumId w:val="17"/>
  </w:num>
  <w:num w:numId="15" w16cid:durableId="398746542">
    <w:abstractNumId w:val="15"/>
  </w:num>
  <w:num w:numId="16" w16cid:durableId="1440298812">
    <w:abstractNumId w:val="7"/>
  </w:num>
  <w:num w:numId="17" w16cid:durableId="1891451540">
    <w:abstractNumId w:val="12"/>
  </w:num>
  <w:num w:numId="18" w16cid:durableId="1559196896">
    <w:abstractNumId w:val="0"/>
  </w:num>
  <w:num w:numId="19" w16cid:durableId="1710031588">
    <w:abstractNumId w:val="3"/>
  </w:num>
  <w:num w:numId="20" w16cid:durableId="78404040">
    <w:abstractNumId w:val="5"/>
  </w:num>
  <w:num w:numId="21" w16cid:durableId="1189374713">
    <w:abstractNumId w:val="24"/>
  </w:num>
  <w:num w:numId="22" w16cid:durableId="423958638">
    <w:abstractNumId w:val="6"/>
  </w:num>
  <w:num w:numId="23" w16cid:durableId="1539782978">
    <w:abstractNumId w:val="23"/>
  </w:num>
  <w:num w:numId="24" w16cid:durableId="970282780">
    <w:abstractNumId w:val="13"/>
  </w:num>
  <w:num w:numId="25" w16cid:durableId="1182429930">
    <w:abstractNumId w:val="9"/>
  </w:num>
  <w:num w:numId="26" w16cid:durableId="2047485406">
    <w:abstractNumId w:val="21"/>
  </w:num>
  <w:num w:numId="27" w16cid:durableId="1205874021">
    <w:abstractNumId w:val="26"/>
  </w:num>
  <w:num w:numId="28" w16cid:durableId="1802769216">
    <w:abstractNumId w:val="30"/>
  </w:num>
  <w:num w:numId="29" w16cid:durableId="133181289">
    <w:abstractNumId w:val="1"/>
  </w:num>
  <w:num w:numId="30" w16cid:durableId="859971025">
    <w:abstractNumId w:val="16"/>
  </w:num>
  <w:num w:numId="31" w16cid:durableId="2136868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1045"/>
    <w:rsid w:val="001F298E"/>
    <w:rsid w:val="001F2CBC"/>
    <w:rsid w:val="00243FCA"/>
    <w:rsid w:val="00247C1F"/>
    <w:rsid w:val="00253F1D"/>
    <w:rsid w:val="0030405C"/>
    <w:rsid w:val="003144A1"/>
    <w:rsid w:val="0032724E"/>
    <w:rsid w:val="0033174C"/>
    <w:rsid w:val="0034597E"/>
    <w:rsid w:val="00356CCA"/>
    <w:rsid w:val="0038635B"/>
    <w:rsid w:val="003A5715"/>
    <w:rsid w:val="003C5A88"/>
    <w:rsid w:val="003E1D37"/>
    <w:rsid w:val="003E33E4"/>
    <w:rsid w:val="00403329"/>
    <w:rsid w:val="00434B08"/>
    <w:rsid w:val="004A21FB"/>
    <w:rsid w:val="004E7052"/>
    <w:rsid w:val="004F5BAB"/>
    <w:rsid w:val="00506A74"/>
    <w:rsid w:val="005312F6"/>
    <w:rsid w:val="00587252"/>
    <w:rsid w:val="005C7D20"/>
    <w:rsid w:val="005E57BA"/>
    <w:rsid w:val="005F3767"/>
    <w:rsid w:val="00612B38"/>
    <w:rsid w:val="0063433A"/>
    <w:rsid w:val="00662874"/>
    <w:rsid w:val="0067788A"/>
    <w:rsid w:val="006921B0"/>
    <w:rsid w:val="006963BC"/>
    <w:rsid w:val="006F2961"/>
    <w:rsid w:val="00705582"/>
    <w:rsid w:val="00732122"/>
    <w:rsid w:val="007666ED"/>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118C1"/>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ummer/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33</cp:revision>
  <dcterms:created xsi:type="dcterms:W3CDTF">2018-07-19T14:29:00Z</dcterms:created>
  <dcterms:modified xsi:type="dcterms:W3CDTF">2024-04-12T22:13:00Z</dcterms:modified>
</cp:coreProperties>
</file>