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49C0EED8" w:rsidR="00C653C0" w:rsidRPr="007217D0" w:rsidRDefault="00A74671" w:rsidP="0022007E">
      <w:pPr>
        <w:jc w:val="both"/>
        <w:rPr>
          <w:rFonts w:ascii="Helvetica" w:hAnsi="Helvetica"/>
          <w:b/>
          <w:bCs/>
          <w:lang w:val="en-US"/>
        </w:rPr>
      </w:pPr>
      <w:r>
        <w:rPr>
          <w:rFonts w:ascii="Helvetica" w:hAnsi="Helvetica"/>
          <w:b/>
          <w:bCs/>
          <w:lang w:val="en-US"/>
        </w:rPr>
        <w:t>Correlation Heatmap Analys</w:t>
      </w:r>
      <w:r w:rsidR="00757A27">
        <w:rPr>
          <w:rFonts w:ascii="Helvetica" w:hAnsi="Helvetica"/>
          <w:b/>
          <w:bCs/>
          <w:lang w:val="en-US"/>
        </w:rPr>
        <w:t>is</w:t>
      </w:r>
    </w:p>
    <w:p w14:paraId="3E0EED5A" w14:textId="77777777" w:rsidR="003507A4" w:rsidRDefault="003507A4" w:rsidP="0022007E">
      <w:pPr>
        <w:jc w:val="both"/>
        <w:rPr>
          <w:rFonts w:ascii="Helvetica" w:hAnsi="Helvetica"/>
          <w:sz w:val="20"/>
          <w:szCs w:val="20"/>
          <w:u w:val="single"/>
          <w:lang w:val="en-US"/>
        </w:rPr>
      </w:pPr>
    </w:p>
    <w:p w14:paraId="6628E40A" w14:textId="0788B6E9" w:rsidR="00740E87" w:rsidRPr="006D25F4" w:rsidRDefault="006D25F4" w:rsidP="0022007E">
      <w:pPr>
        <w:jc w:val="both"/>
        <w:rPr>
          <w:rFonts w:ascii="Helvetica" w:hAnsi="Helvetica"/>
          <w:b/>
          <w:bCs/>
          <w:sz w:val="20"/>
          <w:szCs w:val="20"/>
          <w:lang w:val="en-US"/>
        </w:rPr>
      </w:pPr>
      <w:r w:rsidRPr="006D25F4">
        <w:rPr>
          <w:rFonts w:ascii="Helvetica" w:hAnsi="Helvetica"/>
          <w:b/>
          <w:bCs/>
          <w:sz w:val="20"/>
          <w:szCs w:val="20"/>
          <w:lang w:val="en-US"/>
        </w:rPr>
        <w:t>Introduction</w:t>
      </w:r>
    </w:p>
    <w:p w14:paraId="2D05BFC6" w14:textId="77777777" w:rsidR="006D25F4" w:rsidRDefault="006D25F4" w:rsidP="0022007E">
      <w:pPr>
        <w:jc w:val="both"/>
        <w:rPr>
          <w:rFonts w:ascii="Helvetica" w:hAnsi="Helvetica"/>
          <w:sz w:val="20"/>
          <w:szCs w:val="20"/>
          <w:lang w:val="en-US"/>
        </w:rPr>
      </w:pPr>
    </w:p>
    <w:p w14:paraId="4AC7FF5B" w14:textId="77777777" w:rsidR="00126555" w:rsidRPr="00126555" w:rsidRDefault="00126555" w:rsidP="0022007E">
      <w:pPr>
        <w:pStyle w:val="NormalWeb"/>
        <w:spacing w:before="0" w:beforeAutospacing="0" w:after="0" w:afterAutospacing="0"/>
        <w:jc w:val="both"/>
        <w:rPr>
          <w:rFonts w:ascii="Helvetica" w:hAnsi="Helvetica"/>
          <w:sz w:val="20"/>
          <w:szCs w:val="20"/>
        </w:rPr>
      </w:pPr>
      <w:r w:rsidRPr="00126555">
        <w:rPr>
          <w:rFonts w:ascii="Helvetica" w:hAnsi="Helvetica"/>
          <w:sz w:val="20"/>
          <w:szCs w:val="20"/>
        </w:rPr>
        <w:t>Correlation measures the strength and direction of the linear relationship between two variables, commonly applied to asset returns in quantitative finance. It plays a central role in understanding how assets move relative to one another and is widely used in portfolio construction, risk management, and factor analysis. In particular, correlation helps quantify diversification benefits and highlights how these benefits can diminish during periods of market stress, a phenomenon often referred to as</w:t>
      </w:r>
      <w:r w:rsidRPr="00126555">
        <w:rPr>
          <w:rStyle w:val="apple-converted-space"/>
          <w:rFonts w:ascii="Helvetica" w:eastAsiaTheme="majorEastAsia" w:hAnsi="Helvetica"/>
          <w:sz w:val="20"/>
          <w:szCs w:val="20"/>
        </w:rPr>
        <w:t> </w:t>
      </w:r>
      <w:r w:rsidRPr="00126555">
        <w:rPr>
          <w:rStyle w:val="Emphasis"/>
          <w:rFonts w:ascii="Helvetica" w:eastAsiaTheme="majorEastAsia" w:hAnsi="Helvetica"/>
          <w:sz w:val="20"/>
          <w:szCs w:val="20"/>
        </w:rPr>
        <w:t>correlation breakdown</w:t>
      </w:r>
      <w:r w:rsidRPr="00126555">
        <w:rPr>
          <w:rFonts w:ascii="Helvetica" w:hAnsi="Helvetica"/>
          <w:sz w:val="20"/>
          <w:szCs w:val="20"/>
        </w:rPr>
        <w:t>.</w:t>
      </w:r>
    </w:p>
    <w:p w14:paraId="186B4882" w14:textId="77777777" w:rsidR="00126555" w:rsidRDefault="00126555" w:rsidP="0022007E">
      <w:pPr>
        <w:pStyle w:val="NormalWeb"/>
        <w:spacing w:before="0" w:beforeAutospacing="0" w:after="0" w:afterAutospacing="0"/>
        <w:jc w:val="both"/>
        <w:rPr>
          <w:rFonts w:ascii="Helvetica" w:hAnsi="Helvetica"/>
          <w:sz w:val="20"/>
          <w:szCs w:val="20"/>
        </w:rPr>
      </w:pPr>
    </w:p>
    <w:p w14:paraId="5EBB5F04" w14:textId="1EFCA7E8" w:rsidR="006D25F4" w:rsidRPr="00B032EB" w:rsidRDefault="00126555" w:rsidP="0022007E">
      <w:pPr>
        <w:pStyle w:val="NormalWeb"/>
        <w:spacing w:before="0" w:beforeAutospacing="0" w:after="0" w:afterAutospacing="0"/>
        <w:jc w:val="both"/>
        <w:rPr>
          <w:rFonts w:ascii="Helvetica" w:hAnsi="Helvetica"/>
          <w:sz w:val="20"/>
          <w:szCs w:val="20"/>
        </w:rPr>
      </w:pPr>
      <w:r w:rsidRPr="00126555">
        <w:rPr>
          <w:rFonts w:ascii="Helvetica" w:hAnsi="Helvetica"/>
          <w:sz w:val="20"/>
          <w:szCs w:val="20"/>
        </w:rPr>
        <w:t xml:space="preserve">In practice, correlations are not static. They evolve over time as market conditions, investor </w:t>
      </w:r>
      <w:proofErr w:type="spellStart"/>
      <w:r w:rsidRPr="00126555">
        <w:rPr>
          <w:rFonts w:ascii="Helvetica" w:hAnsi="Helvetica"/>
          <w:sz w:val="20"/>
          <w:szCs w:val="20"/>
        </w:rPr>
        <w:t>behavior</w:t>
      </w:r>
      <w:proofErr w:type="spellEnd"/>
      <w:r w:rsidRPr="00126555">
        <w:rPr>
          <w:rFonts w:ascii="Helvetica" w:hAnsi="Helvetica"/>
          <w:sz w:val="20"/>
          <w:szCs w:val="20"/>
        </w:rPr>
        <w:t>, and macroeconomic environments change. As a result, static correlation estimates can be misleading, especially during regime shifts such as financial crises or sudden risk repricing events.</w:t>
      </w:r>
    </w:p>
    <w:p w14:paraId="062DA2D6" w14:textId="77777777" w:rsidR="006D25F4" w:rsidRDefault="006D25F4" w:rsidP="0022007E">
      <w:pPr>
        <w:jc w:val="both"/>
        <w:rPr>
          <w:rFonts w:ascii="Helvetica" w:hAnsi="Helvetica"/>
          <w:sz w:val="20"/>
          <w:szCs w:val="20"/>
          <w:lang w:val="en-US"/>
        </w:rPr>
      </w:pPr>
    </w:p>
    <w:p w14:paraId="618D42FD" w14:textId="5538FC23" w:rsidR="006D25F4" w:rsidRDefault="006D25F4" w:rsidP="0022007E">
      <w:pPr>
        <w:jc w:val="both"/>
        <w:rPr>
          <w:rFonts w:ascii="Helvetica" w:hAnsi="Helvetica"/>
          <w:b/>
          <w:bCs/>
          <w:sz w:val="20"/>
          <w:szCs w:val="20"/>
          <w:lang w:val="en-US"/>
        </w:rPr>
      </w:pPr>
      <w:r w:rsidRPr="006D25F4">
        <w:rPr>
          <w:rFonts w:ascii="Helvetica" w:hAnsi="Helvetica"/>
          <w:b/>
          <w:bCs/>
          <w:sz w:val="20"/>
          <w:szCs w:val="20"/>
          <w:lang w:val="en-US"/>
        </w:rPr>
        <w:t>Mathematical Background</w:t>
      </w:r>
    </w:p>
    <w:p w14:paraId="6FA25883" w14:textId="77777777" w:rsidR="008C34FE" w:rsidRDefault="008C34FE" w:rsidP="0022007E">
      <w:pPr>
        <w:jc w:val="both"/>
        <w:rPr>
          <w:rFonts w:ascii="Helvetica" w:eastAsia="Times New Roman" w:hAnsi="Helvetica" w:cs="Times New Roman"/>
          <w:kern w:val="0"/>
          <w:sz w:val="20"/>
          <w:szCs w:val="20"/>
          <w:lang w:eastAsia="en-GB"/>
          <w14:ligatures w14:val="none"/>
        </w:rPr>
      </w:pPr>
    </w:p>
    <w:p w14:paraId="6357A100" w14:textId="11D33B9B" w:rsidR="005C21B9" w:rsidRPr="005C21B9" w:rsidRDefault="005C21B9" w:rsidP="0022007E">
      <w:pPr>
        <w:jc w:val="both"/>
        <w:rPr>
          <w:rFonts w:ascii="Helvetica" w:eastAsia="Times New Roman" w:hAnsi="Helvetica" w:cs="Times New Roman"/>
          <w:kern w:val="0"/>
          <w:sz w:val="20"/>
          <w:szCs w:val="20"/>
          <w:lang w:eastAsia="en-GB"/>
          <w14:ligatures w14:val="none"/>
        </w:rPr>
      </w:pPr>
      <w:r w:rsidRPr="005C21B9">
        <w:rPr>
          <w:rFonts w:ascii="Helvetica" w:eastAsia="Times New Roman" w:hAnsi="Helvetica" w:cs="Times New Roman"/>
          <w:kern w:val="0"/>
          <w:sz w:val="20"/>
          <w:szCs w:val="20"/>
          <w:lang w:eastAsia="en-GB"/>
          <w14:ligatures w14:val="none"/>
        </w:rPr>
        <w:t>The most commonly used measure of correlation in finance is the Pearson correlation coefficient, defined as:</w:t>
      </w:r>
    </w:p>
    <w:p w14:paraId="33C878C8" w14:textId="0FC14E65" w:rsidR="005C21B9" w:rsidRPr="005C21B9" w:rsidRDefault="005C21B9" w:rsidP="0022007E">
      <w:pPr>
        <w:jc w:val="both"/>
        <w:rPr>
          <w:rFonts w:ascii="Helvetica" w:eastAsia="Times New Roman" w:hAnsi="Helvetica" w:cs="Times New Roman"/>
          <w:kern w:val="0"/>
          <w:sz w:val="20"/>
          <w:szCs w:val="20"/>
          <w:lang w:eastAsia="en-GB"/>
          <w14:ligatures w14:val="none"/>
        </w:rPr>
      </w:pPr>
      <m:oMathPara>
        <m:oMath>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X</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Y</m:t>
              </m:r>
            </m:sub>
          </m:sSub>
          <m:r>
            <m:rPr>
              <m:sty m:val="p"/>
            </m:rP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kern w:val="0"/>
                  <w:sz w:val="20"/>
                  <w:szCs w:val="20"/>
                  <w:lang w:eastAsia="en-GB"/>
                  <w14:ligatures w14:val="none"/>
                </w:rPr>
              </m:ctrlPr>
            </m:fPr>
            <m:num>
              <m:r>
                <m:rPr>
                  <m:nor/>
                </m:rPr>
                <w:rPr>
                  <w:rFonts w:ascii="Helvetica" w:eastAsia="Times New Roman" w:hAnsi="Helvetica" w:cs="Times New Roman"/>
                  <w:kern w:val="0"/>
                  <w:sz w:val="20"/>
                  <w:szCs w:val="20"/>
                  <w:lang w:eastAsia="en-GB"/>
                  <w14:ligatures w14:val="none"/>
                </w:rPr>
                <m:t>Cov</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X</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Y</m:t>
              </m:r>
              <m:r>
                <m:rPr>
                  <m:sty m:val="p"/>
                </m:rPr>
                <w:rPr>
                  <w:rFonts w:ascii="Cambria Math" w:eastAsia="Times New Roman" w:hAnsi="Cambria Math" w:cs="Times New Roman"/>
                  <w:kern w:val="0"/>
                  <w:sz w:val="20"/>
                  <w:szCs w:val="20"/>
                  <w:lang w:eastAsia="en-GB"/>
                  <w14:ligatures w14:val="none"/>
                </w:rPr>
                <m:t>)</m:t>
              </m:r>
            </m:num>
            <m:den>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σ</m:t>
                  </m:r>
                </m:e>
                <m:sub>
                  <m:r>
                    <w:rPr>
                      <w:rFonts w:ascii="Cambria Math" w:eastAsia="Times New Roman" w:hAnsi="Cambria Math" w:cs="Times New Roman"/>
                      <w:kern w:val="0"/>
                      <w:sz w:val="20"/>
                      <w:szCs w:val="20"/>
                      <w:lang w:eastAsia="en-GB"/>
                      <w14:ligatures w14:val="none"/>
                    </w:rPr>
                    <m:t>X</m:t>
                  </m:r>
                </m:sub>
              </m:sSub>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σ</m:t>
                  </m:r>
                </m:e>
                <m:sub>
                  <m:r>
                    <w:rPr>
                      <w:rFonts w:ascii="Cambria Math" w:eastAsia="Times New Roman" w:hAnsi="Cambria Math" w:cs="Times New Roman"/>
                      <w:kern w:val="0"/>
                      <w:sz w:val="20"/>
                      <w:szCs w:val="20"/>
                      <w:lang w:eastAsia="en-GB"/>
                      <w14:ligatures w14:val="none"/>
                    </w:rPr>
                    <m:t>Y</m:t>
                  </m:r>
                </m:sub>
              </m:sSub>
            </m:den>
          </m:f>
        </m:oMath>
      </m:oMathPara>
    </w:p>
    <w:p w14:paraId="2CCE6D32" w14:textId="77777777" w:rsidR="005C21B9" w:rsidRPr="005C21B9" w:rsidRDefault="005C21B9" w:rsidP="0022007E">
      <w:pPr>
        <w:jc w:val="both"/>
        <w:rPr>
          <w:rFonts w:ascii="Helvetica" w:eastAsia="Times New Roman" w:hAnsi="Helvetica" w:cs="Times New Roman"/>
          <w:kern w:val="0"/>
          <w:sz w:val="20"/>
          <w:szCs w:val="20"/>
          <w:lang w:eastAsia="en-GB"/>
          <w14:ligatures w14:val="none"/>
        </w:rPr>
      </w:pPr>
      <w:r w:rsidRPr="005C21B9">
        <w:rPr>
          <w:rFonts w:ascii="Helvetica" w:eastAsia="Times New Roman" w:hAnsi="Helvetica" w:cs="Times New Roman"/>
          <w:kern w:val="0"/>
          <w:sz w:val="20"/>
          <w:szCs w:val="20"/>
          <w:lang w:eastAsia="en-GB"/>
          <w14:ligatures w14:val="none"/>
        </w:rPr>
        <w:t>where:</w:t>
      </w:r>
    </w:p>
    <w:p w14:paraId="063FD728"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X</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Y</m:t>
            </m:r>
          </m:sub>
        </m:sSub>
        <m:r>
          <m:rPr>
            <m:sty m:val="p"/>
          </m:rPr>
          <w:rPr>
            <w:rFonts w:ascii="Cambria Math" w:eastAsia="Times New Roman" w:hAnsi="Cambria Math" w:cs="Times New Roman"/>
            <w:kern w:val="0"/>
            <w:sz w:val="20"/>
            <w:szCs w:val="20"/>
            <w:lang w:eastAsia="en-GB"/>
            <w14:ligatures w14:val="none"/>
          </w:rPr>
          <m:t>∈[-1,1]</m:t>
        </m:r>
      </m:oMath>
    </w:p>
    <w:p w14:paraId="5A2DD1A7"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r>
          <m:rPr>
            <m:sty m:val="p"/>
          </m:rPr>
          <w:rPr>
            <w:rFonts w:ascii="Cambria Math" w:eastAsia="Times New Roman" w:hAnsi="Cambria Math" w:cs="Times New Roman"/>
            <w:kern w:val="0"/>
            <w:sz w:val="20"/>
            <w:szCs w:val="20"/>
            <w:lang w:eastAsia="en-GB"/>
            <w14:ligatures w14:val="none"/>
          </w:rPr>
          <m:t>+1</m:t>
        </m:r>
      </m:oMath>
      <w:r w:rsidRPr="005C21B9">
        <w:rPr>
          <w:rFonts w:ascii="Helvetica" w:eastAsia="Times New Roman" w:hAnsi="Helvetica" w:cs="Times New Roman"/>
          <w:kern w:val="0"/>
          <w:sz w:val="20"/>
          <w:szCs w:val="20"/>
          <w:lang w:eastAsia="en-GB"/>
          <w14:ligatures w14:val="none"/>
        </w:rPr>
        <w:t> indicates perfect positive correlation</w:t>
      </w:r>
    </w:p>
    <w:p w14:paraId="2AD0CF62"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r>
          <m:rPr>
            <m:sty m:val="p"/>
          </m:rPr>
          <w:rPr>
            <w:rFonts w:ascii="Cambria Math" w:eastAsia="Times New Roman" w:hAnsi="Cambria Math" w:cs="Times New Roman"/>
            <w:kern w:val="0"/>
            <w:sz w:val="20"/>
            <w:szCs w:val="20"/>
            <w:lang w:eastAsia="en-GB"/>
            <w14:ligatures w14:val="none"/>
          </w:rPr>
          <m:t>0</m:t>
        </m:r>
      </m:oMath>
      <w:r w:rsidRPr="005C21B9">
        <w:rPr>
          <w:rFonts w:ascii="Helvetica" w:eastAsia="Times New Roman" w:hAnsi="Helvetica" w:cs="Times New Roman"/>
          <w:kern w:val="0"/>
          <w:sz w:val="20"/>
          <w:szCs w:val="20"/>
          <w:lang w:eastAsia="en-GB"/>
          <w14:ligatures w14:val="none"/>
        </w:rPr>
        <w:t> indicates no linear relationship</w:t>
      </w:r>
    </w:p>
    <w:p w14:paraId="27B0A2AB"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r>
          <m:rPr>
            <m:sty m:val="p"/>
          </m:rPr>
          <w:rPr>
            <w:rFonts w:ascii="Cambria Math" w:eastAsia="Times New Roman" w:hAnsi="Cambria Math" w:cs="Times New Roman"/>
            <w:kern w:val="0"/>
            <w:sz w:val="20"/>
            <w:szCs w:val="20"/>
            <w:lang w:eastAsia="en-GB"/>
            <w14:ligatures w14:val="none"/>
          </w:rPr>
          <m:t>-1</m:t>
        </m:r>
      </m:oMath>
      <w:r w:rsidRPr="005C21B9">
        <w:rPr>
          <w:rFonts w:ascii="Helvetica" w:eastAsia="Times New Roman" w:hAnsi="Helvetica" w:cs="Times New Roman"/>
          <w:kern w:val="0"/>
          <w:sz w:val="20"/>
          <w:szCs w:val="20"/>
          <w:lang w:eastAsia="en-GB"/>
          <w14:ligatures w14:val="none"/>
        </w:rPr>
        <w:t> indicates perfect negative correlation</w:t>
      </w:r>
    </w:p>
    <w:p w14:paraId="741937FF" w14:textId="77777777" w:rsidR="008C34FE" w:rsidRDefault="008C34FE" w:rsidP="0022007E">
      <w:pPr>
        <w:jc w:val="both"/>
        <w:rPr>
          <w:rFonts w:ascii="Helvetica" w:eastAsia="Times New Roman" w:hAnsi="Helvetica" w:cs="Times New Roman"/>
          <w:kern w:val="0"/>
          <w:sz w:val="20"/>
          <w:szCs w:val="20"/>
          <w:lang w:eastAsia="en-GB"/>
          <w14:ligatures w14:val="none"/>
        </w:rPr>
      </w:pPr>
    </w:p>
    <w:p w14:paraId="3E5D3936" w14:textId="422A8410" w:rsidR="005C21B9" w:rsidRPr="005C21B9" w:rsidRDefault="005C21B9" w:rsidP="0022007E">
      <w:pPr>
        <w:jc w:val="both"/>
        <w:rPr>
          <w:rFonts w:ascii="Helvetica" w:eastAsia="Times New Roman" w:hAnsi="Helvetica" w:cs="Times New Roman"/>
          <w:kern w:val="0"/>
          <w:sz w:val="20"/>
          <w:szCs w:val="20"/>
          <w:lang w:eastAsia="en-GB"/>
          <w14:ligatures w14:val="none"/>
        </w:rPr>
      </w:pPr>
      <w:r w:rsidRPr="005C21B9">
        <w:rPr>
          <w:rFonts w:ascii="Helvetica" w:eastAsia="Times New Roman" w:hAnsi="Helvetica" w:cs="Times New Roman"/>
          <w:kern w:val="0"/>
          <w:sz w:val="20"/>
          <w:szCs w:val="20"/>
          <w:lang w:eastAsia="en-GB"/>
          <w14:ligatures w14:val="none"/>
        </w:rPr>
        <w:t>This measure captures the degree to which two asset returns move together on a linear basis and forms the foundation for correlation-based risk analysis.</w:t>
      </w:r>
    </w:p>
    <w:p w14:paraId="614D63A7" w14:textId="77777777" w:rsidR="008C34FE" w:rsidRDefault="008C34FE" w:rsidP="0022007E">
      <w:pPr>
        <w:jc w:val="both"/>
        <w:rPr>
          <w:rFonts w:ascii="Helvetica" w:eastAsia="Times New Roman" w:hAnsi="Helvetica" w:cs="Times New Roman"/>
          <w:kern w:val="0"/>
          <w:sz w:val="20"/>
          <w:szCs w:val="20"/>
          <w:lang w:eastAsia="en-GB"/>
          <w14:ligatures w14:val="none"/>
        </w:rPr>
      </w:pPr>
    </w:p>
    <w:p w14:paraId="79D44330" w14:textId="0537D17F" w:rsidR="008D28FE" w:rsidRPr="008D28FE" w:rsidRDefault="008D28FE" w:rsidP="0022007E">
      <w:pPr>
        <w:jc w:val="both"/>
        <w:rPr>
          <w:rFonts w:ascii="Helvetica" w:eastAsia="Times New Roman" w:hAnsi="Helvetica" w:cs="Times New Roman"/>
          <w:b/>
          <w:bCs/>
          <w:kern w:val="0"/>
          <w:sz w:val="20"/>
          <w:szCs w:val="20"/>
          <w:lang w:eastAsia="en-GB"/>
          <w14:ligatures w14:val="none"/>
        </w:rPr>
      </w:pPr>
      <w:r w:rsidRPr="008D28FE">
        <w:rPr>
          <w:rFonts w:ascii="Helvetica" w:eastAsia="Times New Roman" w:hAnsi="Helvetica" w:cs="Times New Roman"/>
          <w:b/>
          <w:bCs/>
          <w:kern w:val="0"/>
          <w:sz w:val="20"/>
          <w:szCs w:val="20"/>
          <w:lang w:eastAsia="en-GB"/>
          <w14:ligatures w14:val="none"/>
        </w:rPr>
        <w:t>Motivation and Objectives</w:t>
      </w:r>
    </w:p>
    <w:p w14:paraId="6884C118" w14:textId="77777777" w:rsidR="008D28FE" w:rsidRDefault="008D28FE" w:rsidP="0022007E">
      <w:pPr>
        <w:jc w:val="both"/>
        <w:rPr>
          <w:rFonts w:ascii="Helvetica" w:eastAsia="Times New Roman" w:hAnsi="Helvetica" w:cs="Times New Roman"/>
          <w:kern w:val="0"/>
          <w:sz w:val="20"/>
          <w:szCs w:val="20"/>
          <w:lang w:eastAsia="en-GB"/>
          <w14:ligatures w14:val="none"/>
        </w:rPr>
      </w:pPr>
    </w:p>
    <w:p w14:paraId="281B6102" w14:textId="77777777" w:rsidR="00C52FB3" w:rsidRDefault="00C52FB3" w:rsidP="0022007E">
      <w:pPr>
        <w:pStyle w:val="NormalWeb"/>
        <w:spacing w:before="0" w:beforeAutospacing="0" w:after="0" w:afterAutospacing="0"/>
        <w:jc w:val="both"/>
        <w:rPr>
          <w:rFonts w:ascii="Helvetica" w:hAnsi="Helvetica"/>
          <w:sz w:val="20"/>
          <w:szCs w:val="20"/>
        </w:rPr>
      </w:pPr>
      <w:r w:rsidRPr="00C52FB3">
        <w:rPr>
          <w:rFonts w:ascii="Helvetica" w:hAnsi="Helvetica"/>
          <w:sz w:val="20"/>
          <w:szCs w:val="20"/>
        </w:rPr>
        <w:t>The objective of this project is to construct a </w:t>
      </w:r>
      <w:r w:rsidRPr="00C52FB3">
        <w:rPr>
          <w:rFonts w:ascii="Helvetica" w:hAnsi="Helvetica"/>
          <w:b/>
          <w:bCs/>
          <w:sz w:val="20"/>
          <w:szCs w:val="20"/>
        </w:rPr>
        <w:t>dynamic correlation heatmap</w:t>
      </w:r>
      <w:r w:rsidRPr="00C52FB3">
        <w:rPr>
          <w:rFonts w:ascii="Helvetica" w:hAnsi="Helvetica"/>
          <w:sz w:val="20"/>
          <w:szCs w:val="20"/>
        </w:rPr>
        <w:t> across multiple asset classes, including equity indices, foreign exchange pairs, interest rates, and commodities. By applying </w:t>
      </w:r>
      <w:r w:rsidRPr="00C52FB3">
        <w:rPr>
          <w:rFonts w:ascii="Helvetica" w:hAnsi="Helvetica"/>
          <w:b/>
          <w:bCs/>
          <w:sz w:val="20"/>
          <w:szCs w:val="20"/>
        </w:rPr>
        <w:t>rolling correlation windows</w:t>
      </w:r>
      <w:r w:rsidRPr="00C52FB3">
        <w:rPr>
          <w:rFonts w:ascii="Helvetica" w:hAnsi="Helvetica"/>
          <w:sz w:val="20"/>
          <w:szCs w:val="20"/>
        </w:rPr>
        <w:t>, we aim to observe how inter-asset relationships evolve through time rather than relying on static averages.</w:t>
      </w:r>
    </w:p>
    <w:p w14:paraId="49731926" w14:textId="77777777" w:rsidR="00071131" w:rsidRPr="00C52FB3" w:rsidRDefault="00071131" w:rsidP="0022007E">
      <w:pPr>
        <w:pStyle w:val="NormalWeb"/>
        <w:spacing w:before="0" w:beforeAutospacing="0" w:after="0" w:afterAutospacing="0"/>
        <w:jc w:val="both"/>
        <w:rPr>
          <w:rFonts w:ascii="Helvetica" w:hAnsi="Helvetica"/>
          <w:sz w:val="20"/>
          <w:szCs w:val="20"/>
        </w:rPr>
      </w:pPr>
    </w:p>
    <w:p w14:paraId="738F164B" w14:textId="7761F21C" w:rsidR="00964A46" w:rsidRDefault="00C52FB3" w:rsidP="0022007E">
      <w:pPr>
        <w:pStyle w:val="NormalWeb"/>
        <w:spacing w:before="0" w:beforeAutospacing="0" w:after="0" w:afterAutospacing="0"/>
        <w:jc w:val="both"/>
        <w:rPr>
          <w:rFonts w:ascii="Helvetica" w:hAnsi="Helvetica"/>
          <w:sz w:val="20"/>
          <w:szCs w:val="20"/>
        </w:rPr>
      </w:pPr>
      <w:r w:rsidRPr="00C52FB3">
        <w:rPr>
          <w:rFonts w:ascii="Helvetica" w:hAnsi="Helvetica"/>
          <w:sz w:val="20"/>
          <w:szCs w:val="20"/>
        </w:rPr>
        <w:t>A key motivation is to compare correlation structures during </w:t>
      </w:r>
      <w:r w:rsidRPr="00C52FB3">
        <w:rPr>
          <w:rFonts w:ascii="Helvetica" w:hAnsi="Helvetica"/>
          <w:b/>
          <w:bCs/>
          <w:sz w:val="20"/>
          <w:szCs w:val="20"/>
        </w:rPr>
        <w:t>calm market conditions</w:t>
      </w:r>
      <w:r w:rsidRPr="00C52FB3">
        <w:rPr>
          <w:rFonts w:ascii="Helvetica" w:hAnsi="Helvetica"/>
          <w:sz w:val="20"/>
          <w:szCs w:val="20"/>
        </w:rPr>
        <w:t> versus </w:t>
      </w:r>
      <w:r w:rsidRPr="00C52FB3">
        <w:rPr>
          <w:rFonts w:ascii="Helvetica" w:hAnsi="Helvetica"/>
          <w:b/>
          <w:bCs/>
          <w:sz w:val="20"/>
          <w:szCs w:val="20"/>
        </w:rPr>
        <w:t>stress periods</w:t>
      </w:r>
      <w:r w:rsidRPr="00C52FB3">
        <w:rPr>
          <w:rFonts w:ascii="Helvetica" w:hAnsi="Helvetica"/>
          <w:sz w:val="20"/>
          <w:szCs w:val="20"/>
        </w:rPr>
        <w:t>. During market drawdowns, correlations often rise sharply as investors de-risk simultaneously, reducing diversification benefits precisely when they are most needed. Visualizing these dynamics allows us to better understand systemic risk and cross-asset contagion</w:t>
      </w:r>
    </w:p>
    <w:p w14:paraId="543A4067" w14:textId="77777777" w:rsidR="00964A46" w:rsidRDefault="00964A46" w:rsidP="0022007E">
      <w:pPr>
        <w:jc w:val="both"/>
        <w:outlineLvl w:val="2"/>
        <w:rPr>
          <w:rFonts w:ascii="Helvetica" w:eastAsia="Times New Roman" w:hAnsi="Helvetica" w:cs="Times New Roman"/>
          <w:kern w:val="0"/>
          <w:sz w:val="20"/>
          <w:szCs w:val="20"/>
          <w:lang w:eastAsia="en-GB"/>
          <w14:ligatures w14:val="none"/>
        </w:rPr>
      </w:pPr>
    </w:p>
    <w:p w14:paraId="55C3E774" w14:textId="53573933" w:rsidR="00793419" w:rsidRPr="00964A46" w:rsidRDefault="00793419" w:rsidP="0022007E">
      <w:pPr>
        <w:jc w:val="both"/>
        <w:outlineLvl w:val="2"/>
        <w:rPr>
          <w:rFonts w:ascii="Helvetica" w:eastAsia="Times New Roman" w:hAnsi="Helvetica" w:cs="Times New Roman"/>
          <w:b/>
          <w:bCs/>
          <w:kern w:val="0"/>
          <w:sz w:val="20"/>
          <w:szCs w:val="20"/>
          <w:lang w:eastAsia="en-GB"/>
          <w14:ligatures w14:val="none"/>
        </w:rPr>
      </w:pPr>
      <w:r w:rsidRPr="00964A46">
        <w:rPr>
          <w:rFonts w:ascii="Helvetica" w:eastAsia="Times New Roman" w:hAnsi="Helvetica" w:cs="Times New Roman"/>
          <w:b/>
          <w:bCs/>
          <w:kern w:val="0"/>
          <w:sz w:val="20"/>
          <w:szCs w:val="20"/>
          <w:lang w:eastAsia="en-GB"/>
          <w14:ligatures w14:val="none"/>
        </w:rPr>
        <w:t>Correlation Heatmaps as a Research Tool</w:t>
      </w:r>
    </w:p>
    <w:p w14:paraId="0C7140A8" w14:textId="77777777" w:rsidR="00964A46" w:rsidRDefault="00964A46" w:rsidP="0022007E">
      <w:pPr>
        <w:jc w:val="both"/>
        <w:rPr>
          <w:rFonts w:ascii="Helvetica" w:eastAsia="Times New Roman" w:hAnsi="Helvetica" w:cs="Times New Roman"/>
          <w:kern w:val="0"/>
          <w:sz w:val="20"/>
          <w:szCs w:val="20"/>
          <w:lang w:eastAsia="en-GB"/>
          <w14:ligatures w14:val="none"/>
        </w:rPr>
      </w:pPr>
    </w:p>
    <w:p w14:paraId="45FFFDB0" w14:textId="35165235" w:rsidR="00793419" w:rsidRPr="00793419" w:rsidRDefault="00793419" w:rsidP="0022007E">
      <w:p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 xml:space="preserve">Correlation heatmaps provide an intuitive and compact visualization of pairwise relationships across a large set of assets. Each cell in the heatmap represents the correlation between two assets at a given point in time, with </w:t>
      </w:r>
      <w:proofErr w:type="spellStart"/>
      <w:r w:rsidRPr="00793419">
        <w:rPr>
          <w:rFonts w:ascii="Helvetica" w:eastAsia="Times New Roman" w:hAnsi="Helvetica" w:cs="Times New Roman"/>
          <w:kern w:val="0"/>
          <w:sz w:val="20"/>
          <w:szCs w:val="20"/>
          <w:lang w:eastAsia="en-GB"/>
          <w14:ligatures w14:val="none"/>
        </w:rPr>
        <w:t>color</w:t>
      </w:r>
      <w:proofErr w:type="spellEnd"/>
      <w:r w:rsidRPr="00793419">
        <w:rPr>
          <w:rFonts w:ascii="Helvetica" w:eastAsia="Times New Roman" w:hAnsi="Helvetica" w:cs="Times New Roman"/>
          <w:kern w:val="0"/>
          <w:sz w:val="20"/>
          <w:szCs w:val="20"/>
          <w:lang w:eastAsia="en-GB"/>
          <w14:ligatures w14:val="none"/>
        </w:rPr>
        <w:t xml:space="preserve"> intensity indicating the strength and direction of the relationship.</w:t>
      </w:r>
      <w:r w:rsidR="00774113">
        <w:rPr>
          <w:rFonts w:ascii="Helvetica" w:eastAsia="Times New Roman" w:hAnsi="Helvetica" w:cs="Times New Roman"/>
          <w:kern w:val="0"/>
          <w:sz w:val="20"/>
          <w:szCs w:val="20"/>
          <w:lang w:eastAsia="en-GB"/>
          <w14:ligatures w14:val="none"/>
        </w:rPr>
        <w:t xml:space="preserve"> </w:t>
      </w:r>
      <w:r w:rsidRPr="00793419">
        <w:rPr>
          <w:rFonts w:ascii="Helvetica" w:eastAsia="Times New Roman" w:hAnsi="Helvetica" w:cs="Times New Roman"/>
          <w:kern w:val="0"/>
          <w:sz w:val="20"/>
          <w:szCs w:val="20"/>
          <w:lang w:eastAsia="en-GB"/>
          <w14:ligatures w14:val="none"/>
        </w:rPr>
        <w:t>When extended dynamically using rolling windows, heatmaps become a powerful diagnostic tool:</w:t>
      </w:r>
    </w:p>
    <w:p w14:paraId="08B4269A" w14:textId="77777777" w:rsidR="00793419" w:rsidRPr="00793419" w:rsidRDefault="00793419" w:rsidP="0022007E">
      <w:pPr>
        <w:numPr>
          <w:ilvl w:val="0"/>
          <w:numId w:val="2"/>
        </w:num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Rising correlations across asset classes can signal risk-off regimes</w:t>
      </w:r>
    </w:p>
    <w:p w14:paraId="02399760" w14:textId="77777777" w:rsidR="00793419" w:rsidRPr="00793419" w:rsidRDefault="00793419" w:rsidP="0022007E">
      <w:pPr>
        <w:numPr>
          <w:ilvl w:val="0"/>
          <w:numId w:val="2"/>
        </w:num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Stable or low correlations are often associated with risk-on environments</w:t>
      </w:r>
    </w:p>
    <w:p w14:paraId="7670DE8A" w14:textId="77777777" w:rsidR="00793419" w:rsidRPr="00793419" w:rsidRDefault="00793419" w:rsidP="0022007E">
      <w:pPr>
        <w:numPr>
          <w:ilvl w:val="0"/>
          <w:numId w:val="2"/>
        </w:num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Sudden shifts in correlation structure may act as early warning signals of regime transitions</w:t>
      </w:r>
    </w:p>
    <w:p w14:paraId="5F40A658"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63165BD4" w14:textId="345C9804" w:rsidR="00793419" w:rsidRPr="00793419" w:rsidRDefault="00793419" w:rsidP="0022007E">
      <w:p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 xml:space="preserve">By annotating these heatmaps with known macroeconomic or financial stress events, we can directly link changes in correlation </w:t>
      </w:r>
      <w:proofErr w:type="spellStart"/>
      <w:r w:rsidRPr="00793419">
        <w:rPr>
          <w:rFonts w:ascii="Helvetica" w:eastAsia="Times New Roman" w:hAnsi="Helvetica" w:cs="Times New Roman"/>
          <w:kern w:val="0"/>
          <w:sz w:val="20"/>
          <w:szCs w:val="20"/>
          <w:lang w:eastAsia="en-GB"/>
          <w14:ligatures w14:val="none"/>
        </w:rPr>
        <w:t>behavior</w:t>
      </w:r>
      <w:proofErr w:type="spellEnd"/>
      <w:r w:rsidRPr="00793419">
        <w:rPr>
          <w:rFonts w:ascii="Helvetica" w:eastAsia="Times New Roman" w:hAnsi="Helvetica" w:cs="Times New Roman"/>
          <w:kern w:val="0"/>
          <w:sz w:val="20"/>
          <w:szCs w:val="20"/>
          <w:lang w:eastAsia="en-GB"/>
          <w14:ligatures w14:val="none"/>
        </w:rPr>
        <w:t xml:space="preserve"> to broader market regimes.</w:t>
      </w:r>
    </w:p>
    <w:p w14:paraId="037A79F5" w14:textId="77777777" w:rsidR="00E51958" w:rsidRDefault="00E51958" w:rsidP="0022007E">
      <w:pPr>
        <w:jc w:val="both"/>
        <w:rPr>
          <w:rFonts w:ascii="Helvetica" w:eastAsia="Times New Roman" w:hAnsi="Helvetica" w:cs="Times New Roman"/>
          <w:kern w:val="0"/>
          <w:sz w:val="20"/>
          <w:szCs w:val="20"/>
          <w:lang w:eastAsia="en-GB"/>
          <w14:ligatures w14:val="none"/>
        </w:rPr>
      </w:pPr>
    </w:p>
    <w:p w14:paraId="33DF1CFA"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4A73CD93"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512C6940" w14:textId="77777777" w:rsidR="00774113" w:rsidRPr="00774113" w:rsidRDefault="00774113" w:rsidP="0022007E">
      <w:pPr>
        <w:jc w:val="both"/>
        <w:outlineLvl w:val="2"/>
        <w:rPr>
          <w:rFonts w:ascii="Helvetica" w:eastAsia="Times New Roman" w:hAnsi="Helvetica" w:cs="Times New Roman"/>
          <w:b/>
          <w:bCs/>
          <w:kern w:val="0"/>
          <w:sz w:val="20"/>
          <w:szCs w:val="20"/>
          <w:lang w:eastAsia="en-GB"/>
          <w14:ligatures w14:val="none"/>
        </w:rPr>
      </w:pPr>
      <w:r w:rsidRPr="00774113">
        <w:rPr>
          <w:rFonts w:ascii="Helvetica" w:eastAsia="Times New Roman" w:hAnsi="Helvetica" w:cs="Times New Roman"/>
          <w:b/>
          <w:bCs/>
          <w:kern w:val="0"/>
          <w:sz w:val="20"/>
          <w:szCs w:val="20"/>
          <w:lang w:eastAsia="en-GB"/>
          <w14:ligatures w14:val="none"/>
        </w:rPr>
        <w:lastRenderedPageBreak/>
        <w:t>Market Regimes and Risk Framework</w:t>
      </w:r>
    </w:p>
    <w:p w14:paraId="1655AF70"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221ED084" w14:textId="725019DA" w:rsidR="00774113" w:rsidRDefault="00774113" w:rsidP="0022007E">
      <w:pPr>
        <w:jc w:val="both"/>
        <w:rPr>
          <w:rFonts w:ascii="Helvetica" w:eastAsia="Times New Roman" w:hAnsi="Helvetica" w:cs="Times New Roman"/>
          <w:kern w:val="0"/>
          <w:sz w:val="20"/>
          <w:szCs w:val="20"/>
          <w:lang w:eastAsia="en-GB"/>
          <w14:ligatures w14:val="none"/>
        </w:rPr>
      </w:pPr>
      <w:r w:rsidRPr="00774113">
        <w:rPr>
          <w:rFonts w:ascii="Helvetica" w:eastAsia="Times New Roman" w:hAnsi="Helvetica" w:cs="Times New Roman"/>
          <w:kern w:val="0"/>
          <w:sz w:val="20"/>
          <w:szCs w:val="20"/>
          <w:lang w:eastAsia="en-GB"/>
          <w14:ligatures w14:val="none"/>
        </w:rPr>
        <w:t>To interpret the observed correlation dynamics, we adopt a risk-on / risk-off framework. Risk-on regimes are typically characterized by lower cross-asset correlations and greater dispersion in returns, reflecting selective risk-taking by investors. In contrast, risk-off regimes exhibit elevated correlations as capital moves defensively and assets begin to trade more uniformly.</w:t>
      </w:r>
      <w:r>
        <w:rPr>
          <w:rFonts w:ascii="Helvetica" w:eastAsia="Times New Roman" w:hAnsi="Helvetica" w:cs="Times New Roman"/>
          <w:kern w:val="0"/>
          <w:sz w:val="20"/>
          <w:szCs w:val="20"/>
          <w:lang w:eastAsia="en-GB"/>
          <w14:ligatures w14:val="none"/>
        </w:rPr>
        <w:t xml:space="preserve"> </w:t>
      </w:r>
      <w:r w:rsidRPr="00774113">
        <w:rPr>
          <w:rFonts w:ascii="Helvetica" w:eastAsia="Times New Roman" w:hAnsi="Helvetica" w:cs="Times New Roman"/>
          <w:kern w:val="0"/>
          <w:sz w:val="20"/>
          <w:szCs w:val="20"/>
          <w:lang w:eastAsia="en-GB"/>
          <w14:ligatures w14:val="none"/>
        </w:rPr>
        <w:t>The following table summarizes key market regimes used in this analysis and how they align with the risk-on and risk-off classification.</w:t>
      </w:r>
    </w:p>
    <w:p w14:paraId="5A5FF965" w14:textId="77777777" w:rsidR="003655AA" w:rsidRDefault="003655AA" w:rsidP="0022007E">
      <w:pPr>
        <w:jc w:val="both"/>
        <w:rPr>
          <w:rFonts w:ascii="Helvetica" w:eastAsia="Times New Roman" w:hAnsi="Helvetica" w:cs="Times New Roman"/>
          <w:kern w:val="0"/>
          <w:sz w:val="20"/>
          <w:szCs w:val="20"/>
          <w:lang w:eastAsia="en-GB"/>
          <w14:ligatures w14:val="none"/>
        </w:rPr>
      </w:pPr>
    </w:p>
    <w:tbl>
      <w:tblPr>
        <w:tblStyle w:val="TableGrid"/>
        <w:tblW w:w="0" w:type="auto"/>
        <w:tblLook w:val="04A0" w:firstRow="1" w:lastRow="0" w:firstColumn="1" w:lastColumn="0" w:noHBand="0" w:noVBand="1"/>
      </w:tblPr>
      <w:tblGrid>
        <w:gridCol w:w="1129"/>
        <w:gridCol w:w="1843"/>
        <w:gridCol w:w="2437"/>
        <w:gridCol w:w="1803"/>
        <w:gridCol w:w="1804"/>
      </w:tblGrid>
      <w:tr w:rsidR="00BF606A" w14:paraId="336F9380" w14:textId="77777777" w:rsidTr="00BB67BB">
        <w:tc>
          <w:tcPr>
            <w:tcW w:w="1129" w:type="dxa"/>
            <w:shd w:val="clear" w:color="auto" w:fill="002060"/>
            <w:vAlign w:val="center"/>
          </w:tcPr>
          <w:p w14:paraId="4F70DEC1" w14:textId="12C7FEE2" w:rsidR="00BF606A" w:rsidRPr="00C65F67" w:rsidRDefault="00BF606A" w:rsidP="0022007E">
            <w:pPr>
              <w:jc w:val="both"/>
              <w:rPr>
                <w:rFonts w:ascii="Helvetica" w:eastAsia="Times New Roman" w:hAnsi="Helvetica" w:cs="Times New Roman"/>
                <w:b/>
                <w:bCs/>
                <w:kern w:val="0"/>
                <w:sz w:val="20"/>
                <w:szCs w:val="20"/>
                <w:lang w:eastAsia="en-GB"/>
                <w14:ligatures w14:val="none"/>
              </w:rPr>
            </w:pPr>
            <w:r w:rsidRPr="00C65F67">
              <w:rPr>
                <w:rFonts w:ascii="Helvetica" w:eastAsia="Times New Roman" w:hAnsi="Helvetica" w:cs="Times New Roman"/>
                <w:b/>
                <w:bCs/>
                <w:kern w:val="0"/>
                <w:sz w:val="20"/>
                <w:szCs w:val="20"/>
                <w:lang w:eastAsia="en-GB"/>
                <w14:ligatures w14:val="none"/>
              </w:rPr>
              <w:t>Regime</w:t>
            </w:r>
          </w:p>
        </w:tc>
        <w:tc>
          <w:tcPr>
            <w:tcW w:w="1843" w:type="dxa"/>
            <w:shd w:val="clear" w:color="auto" w:fill="002060"/>
            <w:vAlign w:val="center"/>
          </w:tcPr>
          <w:p w14:paraId="381E6DE7" w14:textId="36E1DF63" w:rsidR="00BF606A" w:rsidRPr="00C65F67" w:rsidRDefault="00BF606A" w:rsidP="0022007E">
            <w:pPr>
              <w:jc w:val="both"/>
              <w:rPr>
                <w:rFonts w:ascii="Helvetica" w:eastAsia="Times New Roman" w:hAnsi="Helvetica" w:cs="Times New Roman"/>
                <w:b/>
                <w:bCs/>
                <w:kern w:val="0"/>
                <w:sz w:val="20"/>
                <w:szCs w:val="20"/>
                <w:lang w:eastAsia="en-GB"/>
                <w14:ligatures w14:val="none"/>
              </w:rPr>
            </w:pPr>
            <w:r w:rsidRPr="00C65F67">
              <w:rPr>
                <w:rFonts w:ascii="Helvetica" w:hAnsi="Helvetica"/>
                <w:b/>
                <w:bCs/>
                <w:sz w:val="20"/>
                <w:szCs w:val="20"/>
              </w:rPr>
              <w:t>Typical Environment</w:t>
            </w:r>
          </w:p>
        </w:tc>
        <w:tc>
          <w:tcPr>
            <w:tcW w:w="2437" w:type="dxa"/>
            <w:shd w:val="clear" w:color="auto" w:fill="002060"/>
            <w:vAlign w:val="center"/>
          </w:tcPr>
          <w:p w14:paraId="026AFDF4" w14:textId="1243A701" w:rsidR="00BF606A" w:rsidRPr="00C65F67" w:rsidRDefault="00BF606A" w:rsidP="0022007E">
            <w:pPr>
              <w:jc w:val="both"/>
              <w:rPr>
                <w:rFonts w:ascii="Helvetica" w:eastAsia="Times New Roman" w:hAnsi="Helvetica" w:cs="Times New Roman"/>
                <w:b/>
                <w:bCs/>
                <w:kern w:val="0"/>
                <w:sz w:val="20"/>
                <w:szCs w:val="20"/>
                <w:lang w:eastAsia="en-GB"/>
                <w14:ligatures w14:val="none"/>
              </w:rPr>
            </w:pPr>
            <w:r w:rsidRPr="00C65F67">
              <w:rPr>
                <w:rFonts w:ascii="Helvetica" w:hAnsi="Helvetica"/>
                <w:b/>
                <w:bCs/>
                <w:sz w:val="20"/>
                <w:szCs w:val="20"/>
              </w:rPr>
              <w:t>Market Characteristics</w:t>
            </w:r>
          </w:p>
        </w:tc>
        <w:tc>
          <w:tcPr>
            <w:tcW w:w="1803" w:type="dxa"/>
            <w:shd w:val="clear" w:color="auto" w:fill="002060"/>
            <w:vAlign w:val="center"/>
          </w:tcPr>
          <w:p w14:paraId="5D9D349C" w14:textId="486A9EEA" w:rsidR="00BF606A" w:rsidRPr="00C65F67" w:rsidRDefault="00BF606A" w:rsidP="0022007E">
            <w:pPr>
              <w:jc w:val="both"/>
              <w:rPr>
                <w:rFonts w:ascii="Helvetica" w:eastAsia="Times New Roman" w:hAnsi="Helvetica" w:cs="Times New Roman"/>
                <w:b/>
                <w:bCs/>
                <w:kern w:val="0"/>
                <w:sz w:val="20"/>
                <w:szCs w:val="20"/>
                <w:lang w:eastAsia="en-GB"/>
                <w14:ligatures w14:val="none"/>
              </w:rPr>
            </w:pPr>
            <w:r w:rsidRPr="00C65F67">
              <w:rPr>
                <w:rFonts w:ascii="Helvetica" w:hAnsi="Helvetica"/>
                <w:b/>
                <w:bCs/>
                <w:sz w:val="20"/>
                <w:szCs w:val="20"/>
              </w:rPr>
              <w:t>Assets That Tend to Perform Well</w:t>
            </w:r>
          </w:p>
        </w:tc>
        <w:tc>
          <w:tcPr>
            <w:tcW w:w="1804" w:type="dxa"/>
            <w:shd w:val="clear" w:color="auto" w:fill="002060"/>
            <w:vAlign w:val="center"/>
          </w:tcPr>
          <w:p w14:paraId="72F81CA3" w14:textId="3D5F50C6" w:rsidR="00BF606A" w:rsidRPr="00C65F67" w:rsidRDefault="00BF606A" w:rsidP="0022007E">
            <w:pPr>
              <w:jc w:val="both"/>
              <w:rPr>
                <w:rFonts w:ascii="Helvetica" w:eastAsia="Times New Roman" w:hAnsi="Helvetica" w:cs="Times New Roman"/>
                <w:b/>
                <w:bCs/>
                <w:kern w:val="0"/>
                <w:sz w:val="20"/>
                <w:szCs w:val="20"/>
                <w:lang w:eastAsia="en-GB"/>
                <w14:ligatures w14:val="none"/>
              </w:rPr>
            </w:pPr>
            <w:r w:rsidRPr="00C65F67">
              <w:rPr>
                <w:rFonts w:ascii="Helvetica" w:hAnsi="Helvetica"/>
                <w:b/>
                <w:bCs/>
                <w:sz w:val="20"/>
                <w:szCs w:val="20"/>
              </w:rPr>
              <w:t>Assets That Tend to Underperform</w:t>
            </w:r>
          </w:p>
        </w:tc>
      </w:tr>
      <w:tr w:rsidR="00CA06CE" w14:paraId="5B8FA77E" w14:textId="77777777" w:rsidTr="00A2075E">
        <w:tc>
          <w:tcPr>
            <w:tcW w:w="1129" w:type="dxa"/>
            <w:vAlign w:val="center"/>
          </w:tcPr>
          <w:p w14:paraId="5A7A59C2" w14:textId="3723735D"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Style w:val="Strong"/>
                <w:rFonts w:ascii="Helvetica" w:hAnsi="Helvetica"/>
                <w:sz w:val="18"/>
                <w:szCs w:val="18"/>
              </w:rPr>
              <w:t>Risk-On</w:t>
            </w:r>
          </w:p>
        </w:tc>
        <w:tc>
          <w:tcPr>
            <w:tcW w:w="1843" w:type="dxa"/>
            <w:vAlign w:val="center"/>
          </w:tcPr>
          <w:p w14:paraId="22D25386" w14:textId="660D968B"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Economic growth, easy financial conditions</w:t>
            </w:r>
          </w:p>
        </w:tc>
        <w:tc>
          <w:tcPr>
            <w:tcW w:w="2437" w:type="dxa"/>
            <w:vAlign w:val="center"/>
          </w:tcPr>
          <w:p w14:paraId="79DB12AB" w14:textId="32553195"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Rising equities, low volatility, tight credit spreads</w:t>
            </w:r>
          </w:p>
        </w:tc>
        <w:tc>
          <w:tcPr>
            <w:tcW w:w="1803" w:type="dxa"/>
            <w:vAlign w:val="center"/>
          </w:tcPr>
          <w:p w14:paraId="646825E7" w14:textId="095BE7DD"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Equities (growth, EM), high-yield credit, commodities</w:t>
            </w:r>
          </w:p>
        </w:tc>
        <w:tc>
          <w:tcPr>
            <w:tcW w:w="1804" w:type="dxa"/>
            <w:vAlign w:val="center"/>
          </w:tcPr>
          <w:p w14:paraId="0A82EB75" w14:textId="25DACEBF"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Government bonds, gold, safe-haven FX</w:t>
            </w:r>
          </w:p>
        </w:tc>
      </w:tr>
      <w:tr w:rsidR="00CA06CE" w14:paraId="1DB5748E" w14:textId="77777777" w:rsidTr="00A2075E">
        <w:tc>
          <w:tcPr>
            <w:tcW w:w="1129" w:type="dxa"/>
            <w:vAlign w:val="center"/>
          </w:tcPr>
          <w:p w14:paraId="31196B42" w14:textId="563A3779"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Style w:val="Strong"/>
                <w:rFonts w:ascii="Helvetica" w:hAnsi="Helvetica"/>
                <w:sz w:val="18"/>
                <w:szCs w:val="18"/>
              </w:rPr>
              <w:t>Risk-Off</w:t>
            </w:r>
          </w:p>
        </w:tc>
        <w:tc>
          <w:tcPr>
            <w:tcW w:w="1843" w:type="dxa"/>
            <w:vAlign w:val="center"/>
          </w:tcPr>
          <w:p w14:paraId="37349EB1" w14:textId="126EFEBE"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Crisis, uncertainty, tightening conditions</w:t>
            </w:r>
          </w:p>
        </w:tc>
        <w:tc>
          <w:tcPr>
            <w:tcW w:w="2437" w:type="dxa"/>
            <w:vAlign w:val="center"/>
          </w:tcPr>
          <w:p w14:paraId="78B8AC5D" w14:textId="472F7413"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Equity sell-offs, volatility spikes, correlations converge</w:t>
            </w:r>
          </w:p>
        </w:tc>
        <w:tc>
          <w:tcPr>
            <w:tcW w:w="1803" w:type="dxa"/>
            <w:vAlign w:val="center"/>
          </w:tcPr>
          <w:p w14:paraId="5FB9513D" w14:textId="0284C776"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Government bonds, gold, USD, JPY, defensive equities</w:t>
            </w:r>
          </w:p>
        </w:tc>
        <w:tc>
          <w:tcPr>
            <w:tcW w:w="1804" w:type="dxa"/>
            <w:vAlign w:val="center"/>
          </w:tcPr>
          <w:p w14:paraId="636E68C0" w14:textId="3AE4A314"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Fonts w:ascii="Helvetica" w:hAnsi="Helvetica"/>
                <w:sz w:val="18"/>
                <w:szCs w:val="18"/>
              </w:rPr>
              <w:t>Equities, high-yield credit, EM assets</w:t>
            </w:r>
          </w:p>
        </w:tc>
      </w:tr>
    </w:tbl>
    <w:p w14:paraId="345BCF23" w14:textId="77777777" w:rsidR="003655AA" w:rsidRDefault="003655AA" w:rsidP="0022007E">
      <w:pPr>
        <w:jc w:val="both"/>
        <w:rPr>
          <w:rFonts w:ascii="Helvetica" w:eastAsia="Times New Roman" w:hAnsi="Helvetica" w:cs="Times New Roman"/>
          <w:kern w:val="0"/>
          <w:sz w:val="20"/>
          <w:szCs w:val="20"/>
          <w:lang w:eastAsia="en-GB"/>
          <w14:ligatures w14:val="none"/>
        </w:rPr>
      </w:pPr>
    </w:p>
    <w:p w14:paraId="2166F66D" w14:textId="77777777" w:rsidR="00C93715" w:rsidRPr="00774113" w:rsidRDefault="00C93715" w:rsidP="0022007E">
      <w:pPr>
        <w:jc w:val="both"/>
        <w:rPr>
          <w:rFonts w:ascii="Helvetica" w:eastAsia="Times New Roman" w:hAnsi="Helvetica" w:cs="Times New Roman"/>
          <w:kern w:val="0"/>
          <w:sz w:val="20"/>
          <w:szCs w:val="20"/>
          <w:lang w:eastAsia="en-GB"/>
          <w14:ligatures w14:val="none"/>
        </w:rPr>
      </w:pPr>
    </w:p>
    <w:p w14:paraId="0AEE2861" w14:textId="701457DC" w:rsidR="00774113" w:rsidRPr="00C93715" w:rsidRDefault="00C93715" w:rsidP="0022007E">
      <w:pPr>
        <w:jc w:val="both"/>
        <w:rPr>
          <w:rFonts w:ascii="Helvetica" w:eastAsia="Times New Roman" w:hAnsi="Helvetica" w:cs="Times New Roman"/>
          <w:b/>
          <w:bCs/>
          <w:kern w:val="0"/>
          <w:sz w:val="20"/>
          <w:szCs w:val="20"/>
          <w:lang w:eastAsia="en-GB"/>
          <w14:ligatures w14:val="none"/>
        </w:rPr>
      </w:pPr>
      <w:r w:rsidRPr="00C93715">
        <w:rPr>
          <w:rFonts w:ascii="Helvetica" w:eastAsia="Times New Roman" w:hAnsi="Helvetica" w:cs="Times New Roman"/>
          <w:b/>
          <w:bCs/>
          <w:kern w:val="0"/>
          <w:sz w:val="20"/>
          <w:szCs w:val="20"/>
          <w:lang w:eastAsia="en-GB"/>
          <w14:ligatures w14:val="none"/>
        </w:rPr>
        <w:t>Dataset and Parameters</w:t>
      </w:r>
    </w:p>
    <w:p w14:paraId="20F13403" w14:textId="77777777" w:rsidR="00C93715" w:rsidRDefault="00C93715" w:rsidP="0022007E">
      <w:pPr>
        <w:jc w:val="both"/>
        <w:rPr>
          <w:rFonts w:ascii="Helvetica" w:eastAsia="Times New Roman" w:hAnsi="Helvetica" w:cs="Times New Roman"/>
          <w:kern w:val="0"/>
          <w:sz w:val="20"/>
          <w:szCs w:val="20"/>
          <w:lang w:eastAsia="en-GB"/>
          <w14:ligatures w14:val="none"/>
        </w:rPr>
      </w:pPr>
    </w:p>
    <w:p w14:paraId="50C77140" w14:textId="25118B3F" w:rsidR="00C93715" w:rsidRDefault="00BC02EF" w:rsidP="0022007E">
      <w:pPr>
        <w:jc w:val="both"/>
        <w:rPr>
          <w:rFonts w:ascii="Helvetica" w:eastAsia="Times New Roman" w:hAnsi="Helvetica" w:cs="Times New Roman"/>
          <w:kern w:val="0"/>
          <w:sz w:val="20"/>
          <w:szCs w:val="20"/>
          <w:lang w:eastAsia="en-GB"/>
          <w14:ligatures w14:val="none"/>
        </w:rPr>
      </w:pPr>
      <w:r w:rsidRPr="00BC02EF">
        <w:rPr>
          <w:rFonts w:ascii="Helvetica" w:eastAsia="Times New Roman" w:hAnsi="Helvetica" w:cs="Times New Roman"/>
          <w:kern w:val="0"/>
          <w:sz w:val="20"/>
          <w:szCs w:val="20"/>
          <w:lang w:eastAsia="en-GB"/>
          <w14:ligatures w14:val="none"/>
        </w:rPr>
        <w:t>For this analysis, we consider four major asset classes: </w:t>
      </w:r>
      <w:r w:rsidRPr="00BC02EF">
        <w:rPr>
          <w:rFonts w:ascii="Helvetica" w:eastAsia="Times New Roman" w:hAnsi="Helvetica" w:cs="Times New Roman"/>
          <w:b/>
          <w:bCs/>
          <w:kern w:val="0"/>
          <w:sz w:val="20"/>
          <w:szCs w:val="20"/>
          <w:lang w:eastAsia="en-GB"/>
          <w14:ligatures w14:val="none"/>
        </w:rPr>
        <w:t>Stocks, FX pairs, Rates, and Commodities</w:t>
      </w:r>
      <w:r w:rsidRPr="00BC02EF">
        <w:rPr>
          <w:rFonts w:ascii="Helvetica" w:eastAsia="Times New Roman" w:hAnsi="Helvetica" w:cs="Times New Roman"/>
          <w:kern w:val="0"/>
          <w:sz w:val="20"/>
          <w:szCs w:val="20"/>
          <w:lang w:eastAsia="en-GB"/>
          <w14:ligatures w14:val="none"/>
        </w:rPr>
        <w:t xml:space="preserve">. Each asset class exhibits unique factor sensitivities and dynamics, providing a diverse set of </w:t>
      </w:r>
      <w:proofErr w:type="spellStart"/>
      <w:r w:rsidRPr="00BC02EF">
        <w:rPr>
          <w:rFonts w:ascii="Helvetica" w:eastAsia="Times New Roman" w:hAnsi="Helvetica" w:cs="Times New Roman"/>
          <w:kern w:val="0"/>
          <w:sz w:val="20"/>
          <w:szCs w:val="20"/>
          <w:lang w:eastAsia="en-GB"/>
          <w14:ligatures w14:val="none"/>
        </w:rPr>
        <w:t>behaviors</w:t>
      </w:r>
      <w:proofErr w:type="spellEnd"/>
      <w:r w:rsidRPr="00BC02EF">
        <w:rPr>
          <w:rFonts w:ascii="Helvetica" w:eastAsia="Times New Roman" w:hAnsi="Helvetica" w:cs="Times New Roman"/>
          <w:kern w:val="0"/>
          <w:sz w:val="20"/>
          <w:szCs w:val="20"/>
          <w:lang w:eastAsia="en-GB"/>
          <w14:ligatures w14:val="none"/>
        </w:rPr>
        <w:t xml:space="preserve"> across different market environments. This diversity allows us to capture a wide range of responses to </w:t>
      </w:r>
      <w:r w:rsidRPr="00BC02EF">
        <w:rPr>
          <w:rFonts w:ascii="Helvetica" w:eastAsia="Times New Roman" w:hAnsi="Helvetica" w:cs="Times New Roman"/>
          <w:b/>
          <w:bCs/>
          <w:kern w:val="0"/>
          <w:sz w:val="20"/>
          <w:szCs w:val="20"/>
          <w:lang w:eastAsia="en-GB"/>
          <w14:ligatures w14:val="none"/>
        </w:rPr>
        <w:t>risk-on and risk-off events</w:t>
      </w:r>
      <w:r w:rsidRPr="00BC02EF">
        <w:rPr>
          <w:rFonts w:ascii="Helvetica" w:eastAsia="Times New Roman" w:hAnsi="Helvetica" w:cs="Times New Roman"/>
          <w:kern w:val="0"/>
          <w:sz w:val="20"/>
          <w:szCs w:val="20"/>
          <w:lang w:eastAsia="en-GB"/>
          <w14:ligatures w14:val="none"/>
        </w:rPr>
        <w:t>, making the analysis of rolling correlations and dynamic heatmaps more insightful and robust</w:t>
      </w:r>
      <w:r w:rsidR="00F94C34">
        <w:rPr>
          <w:rFonts w:ascii="Helvetica" w:eastAsia="Times New Roman" w:hAnsi="Helvetica" w:cs="Times New Roman"/>
          <w:kern w:val="0"/>
          <w:sz w:val="20"/>
          <w:szCs w:val="20"/>
          <w:lang w:eastAsia="en-GB"/>
          <w14:ligatures w14:val="none"/>
        </w:rPr>
        <w:t>.</w:t>
      </w:r>
    </w:p>
    <w:p w14:paraId="06D66186" w14:textId="77777777" w:rsidR="00E21DEE" w:rsidRDefault="00E21DEE" w:rsidP="0022007E">
      <w:pPr>
        <w:jc w:val="both"/>
        <w:rPr>
          <w:rFonts w:ascii="Helvetica" w:eastAsia="Times New Roman" w:hAnsi="Helvetica" w:cs="Times New Roman"/>
          <w:kern w:val="0"/>
          <w:sz w:val="20"/>
          <w:szCs w:val="20"/>
          <w:lang w:eastAsia="en-GB"/>
          <w14:ligatures w14:val="none"/>
        </w:rPr>
      </w:pPr>
    </w:p>
    <w:p w14:paraId="7EE5B57C" w14:textId="14F874B1" w:rsidR="00D05A0C" w:rsidRDefault="001257BB"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 xml:space="preserve">As for the period of analysis, we will be taking data from </w:t>
      </w:r>
      <w:r w:rsidRPr="00630880">
        <w:rPr>
          <w:rFonts w:ascii="Helvetica" w:eastAsia="Times New Roman" w:hAnsi="Helvetica" w:cs="Times New Roman"/>
          <w:b/>
          <w:bCs/>
          <w:kern w:val="0"/>
          <w:sz w:val="20"/>
          <w:szCs w:val="20"/>
          <w:lang w:eastAsia="en-GB"/>
          <w14:ligatures w14:val="none"/>
        </w:rPr>
        <w:t>2020 to 2025</w:t>
      </w:r>
      <w:r w:rsidR="002B1AE4">
        <w:rPr>
          <w:rFonts w:ascii="Helvetica" w:eastAsia="Times New Roman" w:hAnsi="Helvetica" w:cs="Times New Roman"/>
          <w:kern w:val="0"/>
          <w:sz w:val="20"/>
          <w:szCs w:val="20"/>
          <w:lang w:eastAsia="en-GB"/>
          <w14:ligatures w14:val="none"/>
        </w:rPr>
        <w:t xml:space="preserve">, with the data source being from Yahoo Finance. </w:t>
      </w:r>
    </w:p>
    <w:p w14:paraId="6A51CE7B" w14:textId="0F0EC02E" w:rsidR="00D05A0C" w:rsidRDefault="000E1E8B" w:rsidP="0022007E">
      <w:pPr>
        <w:jc w:val="both"/>
        <w:rPr>
          <w:rFonts w:ascii="Helvetica" w:eastAsia="Times New Roman" w:hAnsi="Helvetica" w:cs="Times New Roman"/>
          <w:kern w:val="0"/>
          <w:sz w:val="20"/>
          <w:szCs w:val="20"/>
          <w:lang w:eastAsia="en-GB"/>
          <w14:ligatures w14:val="none"/>
        </w:rPr>
      </w:pPr>
      <w:r w:rsidRPr="000E1E8B">
        <w:rPr>
          <w:rFonts w:ascii="Helvetica" w:eastAsia="Times New Roman" w:hAnsi="Helvetica" w:cs="Times New Roman"/>
          <w:kern w:val="0"/>
          <w:sz w:val="20"/>
          <w:szCs w:val="20"/>
          <w:lang w:eastAsia="en-GB"/>
          <w14:ligatures w14:val="none"/>
        </w:rPr>
        <w:drawing>
          <wp:inline distT="0" distB="0" distL="0" distR="0" wp14:anchorId="257643CD" wp14:editId="40FC13B3">
            <wp:extent cx="5731510" cy="2132965"/>
            <wp:effectExtent l="0" t="0" r="0" b="635"/>
            <wp:docPr id="166499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1621" name=""/>
                    <pic:cNvPicPr/>
                  </pic:nvPicPr>
                  <pic:blipFill>
                    <a:blip r:embed="rId5"/>
                    <a:stretch>
                      <a:fillRect/>
                    </a:stretch>
                  </pic:blipFill>
                  <pic:spPr>
                    <a:xfrm>
                      <a:off x="0" y="0"/>
                      <a:ext cx="5731510" cy="2132965"/>
                    </a:xfrm>
                    <a:prstGeom prst="rect">
                      <a:avLst/>
                    </a:prstGeom>
                  </pic:spPr>
                </pic:pic>
              </a:graphicData>
            </a:graphic>
          </wp:inline>
        </w:drawing>
      </w:r>
    </w:p>
    <w:p w14:paraId="40CB297A" w14:textId="476241C0" w:rsidR="0030753A" w:rsidRDefault="000E1E8B" w:rsidP="0022007E">
      <w:pPr>
        <w:jc w:val="both"/>
        <w:rPr>
          <w:rFonts w:ascii="Helvetica" w:eastAsia="Times New Roman" w:hAnsi="Helvetica" w:cs="Times New Roman"/>
          <w:kern w:val="0"/>
          <w:sz w:val="20"/>
          <w:szCs w:val="20"/>
          <w:lang w:eastAsia="en-GB"/>
          <w14:ligatures w14:val="none"/>
        </w:rPr>
      </w:pPr>
      <w:r w:rsidRPr="000E1E8B">
        <w:rPr>
          <w:rFonts w:ascii="Helvetica" w:eastAsia="Times New Roman" w:hAnsi="Helvetica" w:cs="Times New Roman"/>
          <w:kern w:val="0"/>
          <w:sz w:val="20"/>
          <w:szCs w:val="20"/>
          <w:lang w:eastAsia="en-GB"/>
          <w14:ligatures w14:val="none"/>
        </w:rPr>
        <w:drawing>
          <wp:inline distT="0" distB="0" distL="0" distR="0" wp14:anchorId="1F812C42" wp14:editId="4F0CF731">
            <wp:extent cx="5731510" cy="2157730"/>
            <wp:effectExtent l="0" t="0" r="0" b="1270"/>
            <wp:docPr id="14326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0703" name=""/>
                    <pic:cNvPicPr/>
                  </pic:nvPicPr>
                  <pic:blipFill>
                    <a:blip r:embed="rId6"/>
                    <a:stretch>
                      <a:fillRect/>
                    </a:stretch>
                  </pic:blipFill>
                  <pic:spPr>
                    <a:xfrm>
                      <a:off x="0" y="0"/>
                      <a:ext cx="5731510" cy="2157730"/>
                    </a:xfrm>
                    <a:prstGeom prst="rect">
                      <a:avLst/>
                    </a:prstGeom>
                  </pic:spPr>
                </pic:pic>
              </a:graphicData>
            </a:graphic>
          </wp:inline>
        </w:drawing>
      </w:r>
    </w:p>
    <w:p w14:paraId="0AA64582" w14:textId="6AB541F3" w:rsidR="0030753A" w:rsidRDefault="00E4596E"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lastRenderedPageBreak/>
        <w:t>We plotted the charts above for stocks and rates so as to get a preliminary idea of how they have performed or move over time.</w:t>
      </w:r>
    </w:p>
    <w:p w14:paraId="026DF2C4" w14:textId="77777777" w:rsidR="00B857ED" w:rsidRDefault="00B857ED" w:rsidP="0022007E">
      <w:pPr>
        <w:jc w:val="both"/>
        <w:rPr>
          <w:rFonts w:ascii="Helvetica" w:eastAsia="Times New Roman" w:hAnsi="Helvetica" w:cs="Times New Roman"/>
          <w:kern w:val="0"/>
          <w:sz w:val="20"/>
          <w:szCs w:val="20"/>
          <w:lang w:eastAsia="en-GB"/>
          <w14:ligatures w14:val="none"/>
        </w:rPr>
      </w:pPr>
    </w:p>
    <w:p w14:paraId="574F90F5" w14:textId="4A90370D" w:rsidR="00B857ED" w:rsidRPr="00D4175B" w:rsidRDefault="00A14055" w:rsidP="0022007E">
      <w:pPr>
        <w:jc w:val="both"/>
        <w:rPr>
          <w:rFonts w:ascii="Helvetica" w:eastAsia="Times New Roman" w:hAnsi="Helvetica" w:cs="Times New Roman"/>
          <w:b/>
          <w:bCs/>
          <w:kern w:val="0"/>
          <w:sz w:val="20"/>
          <w:szCs w:val="20"/>
          <w:lang w:eastAsia="en-GB"/>
          <w14:ligatures w14:val="none"/>
        </w:rPr>
      </w:pPr>
      <w:r w:rsidRPr="00D4175B">
        <w:rPr>
          <w:rFonts w:ascii="Helvetica" w:eastAsia="Times New Roman" w:hAnsi="Helvetica" w:cs="Times New Roman"/>
          <w:b/>
          <w:bCs/>
          <w:kern w:val="0"/>
          <w:sz w:val="20"/>
          <w:szCs w:val="20"/>
          <w:lang w:eastAsia="en-GB"/>
          <w14:ligatures w14:val="none"/>
        </w:rPr>
        <w:t>Rolling Correlation</w:t>
      </w:r>
    </w:p>
    <w:p w14:paraId="524747E6" w14:textId="77777777" w:rsidR="00D4175B" w:rsidRDefault="00D4175B" w:rsidP="0022007E">
      <w:pPr>
        <w:jc w:val="both"/>
        <w:rPr>
          <w:rFonts w:ascii="Helvetica" w:eastAsia="Times New Roman" w:hAnsi="Helvetica" w:cs="Times New Roman"/>
          <w:kern w:val="0"/>
          <w:sz w:val="20"/>
          <w:szCs w:val="20"/>
          <w:lang w:eastAsia="en-GB"/>
          <w14:ligatures w14:val="none"/>
        </w:rPr>
      </w:pPr>
    </w:p>
    <w:p w14:paraId="7D51B15F" w14:textId="157A301C" w:rsidR="00D967E1" w:rsidRDefault="00D967E1" w:rsidP="0022007E">
      <w:pPr>
        <w:spacing w:line="270" w:lineRule="atLeast"/>
        <w:jc w:val="both"/>
        <w:rPr>
          <w:rFonts w:ascii="Helvetica" w:eastAsia="Times New Roman" w:hAnsi="Helvetica" w:cs="Times New Roman"/>
          <w:kern w:val="0"/>
          <w:sz w:val="20"/>
          <w:szCs w:val="20"/>
          <w:lang w:eastAsia="en-GB"/>
          <w14:ligatures w14:val="none"/>
        </w:rPr>
      </w:pPr>
      <w:r w:rsidRPr="00D967E1">
        <w:rPr>
          <w:rFonts w:ascii="Helvetica" w:eastAsia="Times New Roman" w:hAnsi="Helvetica" w:cs="Times New Roman"/>
          <w:kern w:val="0"/>
          <w:sz w:val="20"/>
          <w:szCs w:val="20"/>
          <w:lang w:eastAsia="en-GB"/>
          <w14:ligatures w14:val="none"/>
        </w:rPr>
        <w:t>The rolling correlation differs from our normal asset correlation, in that instead of computing correlation across the entire period, we are using a rolling window function to compute the correlation of the assets during those period. Mathematicall</w:t>
      </w:r>
      <w:r w:rsidR="00C11B6B">
        <w:rPr>
          <w:rFonts w:ascii="Helvetica" w:eastAsia="Times New Roman" w:hAnsi="Helvetica" w:cs="Times New Roman"/>
          <w:kern w:val="0"/>
          <w:sz w:val="20"/>
          <w:szCs w:val="20"/>
          <w:lang w:eastAsia="en-GB"/>
          <w14:ligatures w14:val="none"/>
        </w:rPr>
        <w:t>y</w:t>
      </w:r>
      <w:r w:rsidRPr="00D967E1">
        <w:rPr>
          <w:rFonts w:ascii="Helvetica" w:eastAsia="Times New Roman" w:hAnsi="Helvetica" w:cs="Times New Roman"/>
          <w:kern w:val="0"/>
          <w:sz w:val="20"/>
          <w:szCs w:val="20"/>
          <w:lang w:eastAsia="en-GB"/>
          <w14:ligatures w14:val="none"/>
        </w:rPr>
        <w:t>, it can be defined as follow:</w:t>
      </w:r>
    </w:p>
    <w:p w14:paraId="2E19D1A4" w14:textId="77777777" w:rsidR="00112399" w:rsidRDefault="00112399" w:rsidP="0022007E">
      <w:pPr>
        <w:spacing w:line="270" w:lineRule="atLeast"/>
        <w:jc w:val="both"/>
        <w:rPr>
          <w:rFonts w:ascii="Helvetica" w:eastAsia="Times New Roman" w:hAnsi="Helvetica" w:cs="Times New Roman"/>
          <w:kern w:val="0"/>
          <w:sz w:val="20"/>
          <w:szCs w:val="20"/>
          <w:lang w:eastAsia="en-GB"/>
          <w14:ligatures w14:val="none"/>
        </w:rPr>
      </w:pPr>
    </w:p>
    <w:p w14:paraId="354D90DE" w14:textId="6F537D8F" w:rsidR="00112399" w:rsidRDefault="00CD05EF" w:rsidP="0022007E">
      <w:pPr>
        <w:spacing w:line="270" w:lineRule="atLeast"/>
        <w:jc w:val="both"/>
        <w:rPr>
          <w:rFonts w:ascii="Helvetica" w:eastAsia="Times New Roman" w:hAnsi="Helvetica" w:cs="Times New Roman"/>
          <w:kern w:val="0"/>
          <w:sz w:val="20"/>
          <w:szCs w:val="20"/>
          <w:lang w:eastAsia="en-GB"/>
          <w14:ligatures w14:val="none"/>
        </w:rPr>
      </w:pPr>
      <m:oMathPara>
        <m:oMath>
          <m:sSubSup>
            <m:sSubSupPr>
              <m:ctrlPr>
                <w:rPr>
                  <w:rFonts w:ascii="Cambria Math" w:eastAsia="Times New Roman" w:hAnsi="Cambria Math" w:cs="Times New Roman"/>
                  <w:i/>
                  <w:kern w:val="0"/>
                  <w:sz w:val="20"/>
                  <w:szCs w:val="20"/>
                  <w:lang w:eastAsia="en-GB"/>
                  <w14:ligatures w14:val="none"/>
                </w:rPr>
              </m:ctrlPr>
            </m:sSubSup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t</m:t>
              </m:r>
            </m:sub>
            <m:sup>
              <m:d>
                <m:dPr>
                  <m:ctrlPr>
                    <w:rPr>
                      <w:rFonts w:ascii="Cambria Math" w:eastAsia="Times New Roman" w:hAnsi="Cambria Math" w:cs="Times New Roman"/>
                      <w:i/>
                      <w:kern w:val="0"/>
                      <w:sz w:val="20"/>
                      <w:szCs w:val="20"/>
                      <w:lang w:eastAsia="en-GB"/>
                      <w14:ligatures w14:val="none"/>
                    </w:rPr>
                  </m:ctrlPr>
                </m:dPr>
                <m:e>
                  <m:r>
                    <w:rPr>
                      <w:rFonts w:ascii="Cambria Math" w:eastAsia="Times New Roman" w:hAnsi="Cambria Math" w:cs="Times New Roman"/>
                      <w:kern w:val="0"/>
                      <w:sz w:val="20"/>
                      <w:szCs w:val="20"/>
                      <w:lang w:eastAsia="en-GB"/>
                      <w14:ligatures w14:val="none"/>
                    </w:rPr>
                    <m:t>X, Y</m:t>
                  </m:r>
                </m:e>
              </m:d>
            </m:sup>
          </m:sSubSup>
          <m: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i/>
                  <w:kern w:val="0"/>
                  <w:sz w:val="20"/>
                  <w:szCs w:val="20"/>
                  <w:lang w:eastAsia="en-GB"/>
                  <w14:ligatures w14:val="none"/>
                </w:rPr>
              </m:ctrlPr>
            </m:fPr>
            <m:num>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X</m:t>
                              </m:r>
                            </m:e>
                          </m:acc>
                        </m:e>
                        <m:sub>
                          <m:r>
                            <w:rPr>
                              <w:rFonts w:ascii="Cambria Math" w:eastAsia="Times New Roman" w:hAnsi="Cambria Math" w:cs="Times New Roman"/>
                              <w:kern w:val="0"/>
                              <w:sz w:val="20"/>
                              <w:szCs w:val="20"/>
                              <w:lang w:eastAsia="en-GB"/>
                              <w14:ligatures w14:val="none"/>
                            </w:rPr>
                            <m:t>t</m:t>
                          </m:r>
                        </m:sub>
                      </m:sSub>
                    </m:e>
                  </m:d>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t</m:t>
                          </m:r>
                        </m:sub>
                      </m:sSub>
                    </m:e>
                  </m:d>
                </m:e>
              </m:nary>
            </m:num>
            <m:den>
              <m:rad>
                <m:radPr>
                  <m:degHide m:val="1"/>
                  <m:ctrlPr>
                    <w:rPr>
                      <w:rFonts w:ascii="Cambria Math" w:eastAsia="Times New Roman" w:hAnsi="Cambria Math" w:cs="Times New Roman"/>
                      <w:i/>
                      <w:kern w:val="0"/>
                      <w:sz w:val="20"/>
                      <w:szCs w:val="20"/>
                      <w:lang w:eastAsia="en-GB"/>
                      <w14:ligatures w14:val="none"/>
                    </w:rPr>
                  </m:ctrlPr>
                </m:radPr>
                <m:deg/>
                <m:e>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p>
                        <m:sSupPr>
                          <m:ctrlPr>
                            <w:rPr>
                              <w:rFonts w:ascii="Cambria Math" w:eastAsia="Times New Roman" w:hAnsi="Cambria Math" w:cs="Times New Roman"/>
                              <w:i/>
                              <w:kern w:val="0"/>
                              <w:sz w:val="20"/>
                              <w:szCs w:val="20"/>
                              <w:lang w:eastAsia="en-GB"/>
                              <w14:ligatures w14:val="none"/>
                            </w:rPr>
                          </m:ctrlPr>
                        </m:sSupPr>
                        <m:e>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X</m:t>
                                      </m:r>
                                    </m:e>
                                  </m:acc>
                                </m:e>
                                <m:sub>
                                  <m:r>
                                    <w:rPr>
                                      <w:rFonts w:ascii="Cambria Math" w:eastAsia="Times New Roman" w:hAnsi="Cambria Math" w:cs="Times New Roman"/>
                                      <w:kern w:val="0"/>
                                      <w:sz w:val="20"/>
                                      <w:szCs w:val="20"/>
                                      <w:lang w:eastAsia="en-GB"/>
                                      <w14:ligatures w14:val="none"/>
                                    </w:rPr>
                                    <m:t>t</m:t>
                                  </m:r>
                                </m:sub>
                              </m:sSub>
                            </m:e>
                          </m:d>
                        </m:e>
                        <m:sup>
                          <m:r>
                            <w:rPr>
                              <w:rFonts w:ascii="Cambria Math" w:eastAsia="Times New Roman" w:hAnsi="Cambria Math" w:cs="Times New Roman"/>
                              <w:kern w:val="0"/>
                              <w:sz w:val="20"/>
                              <w:szCs w:val="20"/>
                              <w:lang w:eastAsia="en-GB"/>
                              <w14:ligatures w14:val="none"/>
                            </w:rPr>
                            <m:t>2</m:t>
                          </m:r>
                        </m:sup>
                      </m:sSup>
                    </m:e>
                  </m:nary>
                </m:e>
              </m:rad>
              <m:rad>
                <m:radPr>
                  <m:degHide m:val="1"/>
                  <m:ctrlPr>
                    <w:rPr>
                      <w:rFonts w:ascii="Cambria Math" w:eastAsia="Times New Roman" w:hAnsi="Cambria Math" w:cs="Times New Roman"/>
                      <w:i/>
                      <w:kern w:val="0"/>
                      <w:sz w:val="20"/>
                      <w:szCs w:val="20"/>
                      <w:lang w:eastAsia="en-GB"/>
                      <w14:ligatures w14:val="none"/>
                    </w:rPr>
                  </m:ctrlPr>
                </m:radPr>
                <m:deg/>
                <m:e>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p>
                        <m:sSupPr>
                          <m:ctrlPr>
                            <w:rPr>
                              <w:rFonts w:ascii="Cambria Math" w:eastAsia="Times New Roman" w:hAnsi="Cambria Math" w:cs="Times New Roman"/>
                              <w:i/>
                              <w:kern w:val="0"/>
                              <w:sz w:val="20"/>
                              <w:szCs w:val="20"/>
                              <w:lang w:eastAsia="en-GB"/>
                              <w14:ligatures w14:val="none"/>
                            </w:rPr>
                          </m:ctrlPr>
                        </m:sSupPr>
                        <m:e>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Y</m:t>
                                      </m:r>
                                    </m:e>
                                  </m:acc>
                                </m:e>
                                <m:sub>
                                  <m:r>
                                    <w:rPr>
                                      <w:rFonts w:ascii="Cambria Math" w:eastAsia="Times New Roman" w:hAnsi="Cambria Math" w:cs="Times New Roman"/>
                                      <w:kern w:val="0"/>
                                      <w:sz w:val="20"/>
                                      <w:szCs w:val="20"/>
                                      <w:lang w:eastAsia="en-GB"/>
                                      <w14:ligatures w14:val="none"/>
                                    </w:rPr>
                                    <m:t>t</m:t>
                                  </m:r>
                                </m:sub>
                              </m:sSub>
                            </m:e>
                          </m:d>
                        </m:e>
                        <m:sup>
                          <m:r>
                            <w:rPr>
                              <w:rFonts w:ascii="Cambria Math" w:eastAsia="Times New Roman" w:hAnsi="Cambria Math" w:cs="Times New Roman"/>
                              <w:kern w:val="0"/>
                              <w:sz w:val="20"/>
                              <w:szCs w:val="20"/>
                              <w:lang w:eastAsia="en-GB"/>
                              <w14:ligatures w14:val="none"/>
                            </w:rPr>
                            <m:t>2</m:t>
                          </m:r>
                        </m:sup>
                      </m:sSup>
                    </m:e>
                  </m:nary>
                </m:e>
              </m:rad>
            </m:den>
          </m:f>
        </m:oMath>
      </m:oMathPara>
    </w:p>
    <w:p w14:paraId="663B058B" w14:textId="77777777" w:rsidR="00C93092" w:rsidRPr="00D967E1" w:rsidRDefault="00C93092" w:rsidP="0022007E">
      <w:pPr>
        <w:spacing w:line="270" w:lineRule="atLeast"/>
        <w:jc w:val="both"/>
        <w:rPr>
          <w:rFonts w:ascii="Helvetica" w:eastAsia="Times New Roman" w:hAnsi="Helvetica" w:cs="Times New Roman"/>
          <w:kern w:val="0"/>
          <w:sz w:val="20"/>
          <w:szCs w:val="20"/>
          <w:lang w:eastAsia="en-GB"/>
          <w14:ligatures w14:val="none"/>
        </w:rPr>
      </w:pPr>
    </w:p>
    <w:p w14:paraId="35E4A725" w14:textId="1BC73EAD" w:rsidR="00D4175B" w:rsidRDefault="00C93092"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Where:</w:t>
      </w:r>
    </w:p>
    <w:p w14:paraId="62A61B51" w14:textId="4AB81EC8" w:rsidR="00C93092" w:rsidRDefault="00F52451" w:rsidP="0022007E">
      <w:pPr>
        <w:pStyle w:val="ListParagraph"/>
        <w:numPr>
          <w:ilvl w:val="0"/>
          <w:numId w:val="3"/>
        </w:numPr>
        <w:jc w:val="both"/>
        <w:rPr>
          <w:rFonts w:ascii="Helvetica" w:eastAsia="Times New Roman" w:hAnsi="Helvetica" w:cs="Times New Roman"/>
          <w:kern w:val="0"/>
          <w:sz w:val="20"/>
          <w:szCs w:val="20"/>
          <w:lang w:eastAsia="en-GB"/>
          <w14:ligatures w14:val="none"/>
        </w:rPr>
      </w:pPr>
      <m:oMath>
        <m:r>
          <w:rPr>
            <w:rFonts w:ascii="Cambria Math" w:eastAsia="Times New Roman" w:hAnsi="Cambria Math" w:cs="Times New Roman"/>
            <w:kern w:val="0"/>
            <w:sz w:val="20"/>
            <w:szCs w:val="20"/>
            <w:lang w:eastAsia="en-GB"/>
            <w14:ligatures w14:val="none"/>
          </w:rPr>
          <m:t>n</m:t>
        </m:r>
      </m:oMath>
      <w:r>
        <w:rPr>
          <w:rFonts w:ascii="Helvetica" w:eastAsia="Times New Roman" w:hAnsi="Helvetica" w:cs="Times New Roman"/>
          <w:kern w:val="0"/>
          <w:sz w:val="20"/>
          <w:szCs w:val="20"/>
          <w:lang w:eastAsia="en-GB"/>
          <w14:ligatures w14:val="none"/>
        </w:rPr>
        <w:t xml:space="preserve">: </w:t>
      </w:r>
      <w:r w:rsidR="00590240">
        <w:rPr>
          <w:rFonts w:ascii="Helvetica" w:eastAsia="Times New Roman" w:hAnsi="Helvetica" w:cs="Times New Roman"/>
          <w:kern w:val="0"/>
          <w:sz w:val="20"/>
          <w:szCs w:val="20"/>
          <w:lang w:eastAsia="en-GB"/>
          <w14:ligatures w14:val="none"/>
        </w:rPr>
        <w:t>the rolling window length</w:t>
      </w:r>
    </w:p>
    <w:p w14:paraId="4EFA3888" w14:textId="09269E00" w:rsidR="00590240" w:rsidRDefault="00DE6914" w:rsidP="0022007E">
      <w:pPr>
        <w:pStyle w:val="ListParagraph"/>
        <w:numPr>
          <w:ilvl w:val="0"/>
          <w:numId w:val="3"/>
        </w:numPr>
        <w:jc w:val="both"/>
        <w:rPr>
          <w:rFonts w:ascii="Helvetica" w:eastAsia="Times New Roman" w:hAnsi="Helvetica" w:cs="Times New Roman"/>
          <w:kern w:val="0"/>
          <w:sz w:val="20"/>
          <w:szCs w:val="20"/>
          <w:lang w:eastAsia="en-GB"/>
          <w14:ligatures w14:val="none"/>
        </w:rPr>
      </w:pPr>
      <m:oMath>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X</m:t>
                </m:r>
              </m:e>
            </m:acc>
          </m:e>
          <m:sub>
            <m:r>
              <w:rPr>
                <w:rFonts w:ascii="Cambria Math" w:eastAsia="Times New Roman" w:hAnsi="Cambria Math" w:cs="Times New Roman"/>
                <w:kern w:val="0"/>
                <w:sz w:val="20"/>
                <w:szCs w:val="20"/>
                <w:lang w:eastAsia="en-GB"/>
                <w14:ligatures w14:val="none"/>
              </w:rPr>
              <m:t>t</m:t>
            </m:r>
          </m:sub>
        </m:sSub>
        <m: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i/>
                <w:kern w:val="0"/>
                <w:sz w:val="20"/>
                <w:szCs w:val="20"/>
                <w:lang w:eastAsia="en-GB"/>
                <w14:ligatures w14:val="none"/>
              </w:rPr>
            </m:ctrlPr>
          </m:fPr>
          <m:num>
            <m:r>
              <w:rPr>
                <w:rFonts w:ascii="Cambria Math" w:eastAsia="Times New Roman" w:hAnsi="Cambria Math" w:cs="Times New Roman"/>
                <w:kern w:val="0"/>
                <w:sz w:val="20"/>
                <w:szCs w:val="20"/>
                <w:lang w:eastAsia="en-GB"/>
                <w14:ligatures w14:val="none"/>
              </w:rPr>
              <m:t>1</m:t>
            </m:r>
          </m:num>
          <m:den>
            <m:r>
              <w:rPr>
                <w:rFonts w:ascii="Cambria Math" w:eastAsia="Times New Roman" w:hAnsi="Cambria Math" w:cs="Times New Roman"/>
                <w:kern w:val="0"/>
                <w:sz w:val="20"/>
                <w:szCs w:val="20"/>
                <w:lang w:eastAsia="en-GB"/>
                <w14:ligatures w14:val="none"/>
              </w:rPr>
              <m:t>n</m:t>
            </m:r>
          </m:den>
        </m:f>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 xml:space="preserve">t-i </m:t>
                </m:r>
              </m:sub>
            </m:sSub>
          </m:e>
        </m:nary>
      </m:oMath>
      <w:r w:rsidR="006228EA">
        <w:rPr>
          <w:rFonts w:ascii="Helvetica" w:eastAsia="Times New Roman" w:hAnsi="Helvetica" w:cs="Times New Roman"/>
          <w:kern w:val="0"/>
          <w:sz w:val="20"/>
          <w:szCs w:val="20"/>
          <w:lang w:eastAsia="en-GB"/>
          <w14:ligatures w14:val="none"/>
        </w:rPr>
        <w:t xml:space="preserve"> is the rolling mean of </w:t>
      </w:r>
      <m:oMath>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t</m:t>
            </m:r>
          </m:sub>
        </m:sSub>
      </m:oMath>
    </w:p>
    <w:p w14:paraId="06996E24" w14:textId="2646DE9C" w:rsidR="00A51B3E" w:rsidRDefault="00FB3073" w:rsidP="0022007E">
      <w:pPr>
        <w:pStyle w:val="ListParagraph"/>
        <w:numPr>
          <w:ilvl w:val="0"/>
          <w:numId w:val="3"/>
        </w:numPr>
        <w:jc w:val="both"/>
        <w:rPr>
          <w:rFonts w:ascii="Helvetica" w:eastAsia="Times New Roman" w:hAnsi="Helvetica" w:cs="Times New Roman"/>
          <w:kern w:val="0"/>
          <w:sz w:val="20"/>
          <w:szCs w:val="20"/>
          <w:lang w:eastAsia="en-GB"/>
          <w14:ligatures w14:val="none"/>
        </w:rPr>
      </w:pPr>
      <m:oMath>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Y</m:t>
                </m:r>
              </m:e>
            </m:acc>
          </m:e>
          <m:sub>
            <m:r>
              <w:rPr>
                <w:rFonts w:ascii="Cambria Math" w:eastAsia="Times New Roman" w:hAnsi="Cambria Math" w:cs="Times New Roman"/>
                <w:kern w:val="0"/>
                <w:sz w:val="20"/>
                <w:szCs w:val="20"/>
                <w:lang w:eastAsia="en-GB"/>
                <w14:ligatures w14:val="none"/>
              </w:rPr>
              <m:t>t</m:t>
            </m:r>
          </m:sub>
        </m:sSub>
        <m: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i/>
                <w:kern w:val="0"/>
                <w:sz w:val="20"/>
                <w:szCs w:val="20"/>
                <w:lang w:eastAsia="en-GB"/>
                <w14:ligatures w14:val="none"/>
              </w:rPr>
            </m:ctrlPr>
          </m:fPr>
          <m:num>
            <m:r>
              <w:rPr>
                <w:rFonts w:ascii="Cambria Math" w:eastAsia="Times New Roman" w:hAnsi="Cambria Math" w:cs="Times New Roman"/>
                <w:kern w:val="0"/>
                <w:sz w:val="20"/>
                <w:szCs w:val="20"/>
                <w:lang w:eastAsia="en-GB"/>
                <w14:ligatures w14:val="none"/>
              </w:rPr>
              <m:t>1</m:t>
            </m:r>
          </m:num>
          <m:den>
            <m:r>
              <w:rPr>
                <w:rFonts w:ascii="Cambria Math" w:eastAsia="Times New Roman" w:hAnsi="Cambria Math" w:cs="Times New Roman"/>
                <w:kern w:val="0"/>
                <w:sz w:val="20"/>
                <w:szCs w:val="20"/>
                <w:lang w:eastAsia="en-GB"/>
                <w14:ligatures w14:val="none"/>
              </w:rPr>
              <m:t>n</m:t>
            </m:r>
          </m:den>
        </m:f>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 xml:space="preserve">t-i </m:t>
                </m:r>
              </m:sub>
            </m:sSub>
          </m:e>
        </m:nary>
      </m:oMath>
      <w:r>
        <w:rPr>
          <w:rFonts w:ascii="Helvetica" w:eastAsia="Times New Roman" w:hAnsi="Helvetica" w:cs="Times New Roman"/>
          <w:kern w:val="0"/>
          <w:sz w:val="20"/>
          <w:szCs w:val="20"/>
          <w:lang w:eastAsia="en-GB"/>
          <w14:ligatures w14:val="none"/>
        </w:rPr>
        <w:t xml:space="preserve"> is the rolling mean of </w:t>
      </w:r>
      <m:oMath>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t</m:t>
            </m:r>
          </m:sub>
        </m:sSub>
      </m:oMath>
    </w:p>
    <w:p w14:paraId="3A7E1EC1" w14:textId="77777777" w:rsidR="00CE4B32" w:rsidRDefault="00CE4B32" w:rsidP="0022007E">
      <w:pPr>
        <w:jc w:val="both"/>
        <w:rPr>
          <w:rFonts w:ascii="Helvetica" w:eastAsia="Times New Roman" w:hAnsi="Helvetica" w:cs="Times New Roman"/>
          <w:sz w:val="20"/>
          <w:szCs w:val="20"/>
          <w:lang w:eastAsia="en-GB"/>
        </w:rPr>
      </w:pPr>
    </w:p>
    <w:p w14:paraId="53FC968D" w14:textId="61DF2DAE" w:rsidR="00CE4B32" w:rsidRDefault="003159BE" w:rsidP="0022007E">
      <w:pPr>
        <w:jc w:val="both"/>
        <w:rPr>
          <w:rFonts w:ascii="Helvetica" w:eastAsia="Times New Roman" w:hAnsi="Helvetica" w:cs="Times New Roman"/>
          <w:sz w:val="20"/>
          <w:szCs w:val="20"/>
          <w:lang w:eastAsia="en-GB"/>
        </w:rPr>
      </w:pPr>
      <w:r>
        <w:rPr>
          <w:rFonts w:ascii="Helvetica" w:eastAsia="Times New Roman" w:hAnsi="Helvetica" w:cs="Times New Roman"/>
          <w:sz w:val="20"/>
          <w:szCs w:val="20"/>
          <w:lang w:eastAsia="en-GB"/>
        </w:rPr>
        <w:t xml:space="preserve">Using the above formula, we computed </w:t>
      </w:r>
      <w:r w:rsidR="003E12EF">
        <w:rPr>
          <w:rFonts w:ascii="Helvetica" w:eastAsia="Times New Roman" w:hAnsi="Helvetica" w:cs="Times New Roman"/>
          <w:sz w:val="20"/>
          <w:szCs w:val="20"/>
          <w:lang w:eastAsia="en-GB"/>
        </w:rPr>
        <w:t xml:space="preserve">our rolling correlations </w:t>
      </w:r>
      <w:r w:rsidR="00525A7B">
        <w:rPr>
          <w:rFonts w:ascii="Helvetica" w:eastAsia="Times New Roman" w:hAnsi="Helvetica" w:cs="Times New Roman"/>
          <w:sz w:val="20"/>
          <w:szCs w:val="20"/>
          <w:lang w:eastAsia="en-GB"/>
        </w:rPr>
        <w:t>using a 30-day lookback</w:t>
      </w:r>
      <w:r w:rsidR="003E12EF">
        <w:rPr>
          <w:rFonts w:ascii="Helvetica" w:eastAsia="Times New Roman" w:hAnsi="Helvetica" w:cs="Times New Roman"/>
          <w:sz w:val="20"/>
          <w:szCs w:val="20"/>
          <w:lang w:eastAsia="en-GB"/>
        </w:rPr>
        <w:t xml:space="preserve"> window period</w:t>
      </w:r>
      <w:r w:rsidR="00525A7B">
        <w:rPr>
          <w:rFonts w:ascii="Helvetica" w:eastAsia="Times New Roman" w:hAnsi="Helvetica" w:cs="Times New Roman"/>
          <w:sz w:val="20"/>
          <w:szCs w:val="20"/>
          <w:lang w:eastAsia="en-GB"/>
        </w:rPr>
        <w:t xml:space="preserve">. </w:t>
      </w:r>
      <w:r w:rsidR="004E136E">
        <w:rPr>
          <w:rFonts w:ascii="Helvetica" w:eastAsia="Times New Roman" w:hAnsi="Helvetica" w:cs="Times New Roman"/>
          <w:sz w:val="20"/>
          <w:szCs w:val="20"/>
          <w:lang w:eastAsia="en-GB"/>
        </w:rPr>
        <w:t xml:space="preserve">This means we are deriving the correlation </w:t>
      </w:r>
      <w:r w:rsidR="00BA26CB">
        <w:rPr>
          <w:rFonts w:ascii="Helvetica" w:eastAsia="Times New Roman" w:hAnsi="Helvetica" w:cs="Times New Roman"/>
          <w:sz w:val="20"/>
          <w:szCs w:val="20"/>
          <w:lang w:eastAsia="en-GB"/>
        </w:rPr>
        <w:t xml:space="preserve">across all </w:t>
      </w:r>
      <w:r w:rsidR="00E35970">
        <w:rPr>
          <w:rFonts w:ascii="Helvetica" w:eastAsia="Times New Roman" w:hAnsi="Helvetica" w:cs="Times New Roman"/>
          <w:sz w:val="20"/>
          <w:szCs w:val="20"/>
          <w:lang w:eastAsia="en-GB"/>
        </w:rPr>
        <w:t xml:space="preserve">the tickers within the asset class over </w:t>
      </w:r>
      <w:r w:rsidR="004900F0">
        <w:rPr>
          <w:rFonts w:ascii="Helvetica" w:eastAsia="Times New Roman" w:hAnsi="Helvetica" w:cs="Times New Roman"/>
          <w:sz w:val="20"/>
          <w:szCs w:val="20"/>
          <w:lang w:eastAsia="en-GB"/>
        </w:rPr>
        <w:t>the past 30-days.</w:t>
      </w:r>
    </w:p>
    <w:p w14:paraId="735A9E46" w14:textId="77777777" w:rsidR="002F23A4" w:rsidRDefault="002F23A4" w:rsidP="0022007E">
      <w:pPr>
        <w:jc w:val="both"/>
        <w:rPr>
          <w:rFonts w:ascii="Helvetica" w:eastAsia="Times New Roman" w:hAnsi="Helvetica" w:cs="Times New Roman"/>
          <w:sz w:val="20"/>
          <w:szCs w:val="20"/>
          <w:lang w:eastAsia="en-GB"/>
        </w:rPr>
      </w:pPr>
    </w:p>
    <w:p w14:paraId="484A0392" w14:textId="41302753" w:rsidR="002F23A4" w:rsidRDefault="002F23A4" w:rsidP="0022007E">
      <w:pPr>
        <w:jc w:val="both"/>
        <w:rPr>
          <w:rFonts w:ascii="Helvetica" w:eastAsia="Times New Roman" w:hAnsi="Helvetica" w:cs="Times New Roman"/>
          <w:sz w:val="20"/>
          <w:szCs w:val="20"/>
          <w:lang w:eastAsia="en-GB"/>
        </w:rPr>
      </w:pPr>
      <w:r>
        <w:rPr>
          <w:rFonts w:ascii="Helvetica" w:eastAsia="Times New Roman" w:hAnsi="Helvetica" w:cs="Times New Roman"/>
          <w:sz w:val="20"/>
          <w:szCs w:val="20"/>
          <w:lang w:eastAsia="en-GB"/>
        </w:rPr>
        <w:t xml:space="preserve">Using </w:t>
      </w:r>
      <w:r w:rsidR="00A308CE">
        <w:rPr>
          <w:rFonts w:ascii="Helvetica" w:eastAsia="Times New Roman" w:hAnsi="Helvetica" w:cs="Times New Roman"/>
          <w:sz w:val="20"/>
          <w:szCs w:val="20"/>
          <w:lang w:eastAsia="en-GB"/>
        </w:rPr>
        <w:t xml:space="preserve">Matplotlib </w:t>
      </w:r>
      <w:proofErr w:type="spellStart"/>
      <w:r w:rsidR="00A308CE">
        <w:rPr>
          <w:rFonts w:ascii="Helvetica" w:eastAsia="Times New Roman" w:hAnsi="Helvetica" w:cs="Times New Roman"/>
          <w:sz w:val="20"/>
          <w:szCs w:val="20"/>
          <w:lang w:eastAsia="en-GB"/>
        </w:rPr>
        <w:t>FuncAnimation</w:t>
      </w:r>
      <w:proofErr w:type="spellEnd"/>
      <w:r w:rsidR="00A308CE">
        <w:rPr>
          <w:rFonts w:ascii="Helvetica" w:eastAsia="Times New Roman" w:hAnsi="Helvetica" w:cs="Times New Roman"/>
          <w:sz w:val="20"/>
          <w:szCs w:val="20"/>
          <w:lang w:eastAsia="en-GB"/>
        </w:rPr>
        <w:t xml:space="preserve">, we were able to produce a dynamic </w:t>
      </w:r>
      <w:r w:rsidR="00290515">
        <w:rPr>
          <w:rFonts w:ascii="Helvetica" w:eastAsia="Times New Roman" w:hAnsi="Helvetica" w:cs="Times New Roman"/>
          <w:sz w:val="20"/>
          <w:szCs w:val="20"/>
          <w:lang w:eastAsia="en-GB"/>
        </w:rPr>
        <w:t>correlation heatmap of all the tickers within each asset class. Refer to the notebook for usage.</w:t>
      </w:r>
    </w:p>
    <w:p w14:paraId="0905C39F" w14:textId="77777777" w:rsidR="00290515" w:rsidRDefault="00290515" w:rsidP="0022007E">
      <w:pPr>
        <w:jc w:val="both"/>
        <w:rPr>
          <w:rFonts w:ascii="Helvetica" w:eastAsia="Times New Roman" w:hAnsi="Helvetica" w:cs="Times New Roman"/>
          <w:sz w:val="20"/>
          <w:szCs w:val="20"/>
          <w:lang w:eastAsia="en-GB"/>
        </w:rPr>
      </w:pPr>
    </w:p>
    <w:p w14:paraId="0B217D81" w14:textId="1ED88306" w:rsidR="00D82F7D" w:rsidRDefault="00CB23B6" w:rsidP="005F3871">
      <w:pPr>
        <w:jc w:val="center"/>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w:drawing>
          <wp:inline distT="0" distB="0" distL="0" distR="0" wp14:anchorId="04CE760F" wp14:editId="70F8C0FF">
            <wp:extent cx="4992601" cy="4187789"/>
            <wp:effectExtent l="0" t="0" r="0" b="3810"/>
            <wp:docPr id="20664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12847" name="Picture 2066412847"/>
                    <pic:cNvPicPr/>
                  </pic:nvPicPr>
                  <pic:blipFill>
                    <a:blip r:embed="rId7">
                      <a:extLst>
                        <a:ext uri="{28A0092B-C50C-407E-A947-70E740481C1C}">
                          <a14:useLocalDpi xmlns:a14="http://schemas.microsoft.com/office/drawing/2010/main" val="0"/>
                        </a:ext>
                      </a:extLst>
                    </a:blip>
                    <a:stretch>
                      <a:fillRect/>
                    </a:stretch>
                  </pic:blipFill>
                  <pic:spPr>
                    <a:xfrm>
                      <a:off x="0" y="0"/>
                      <a:ext cx="5010744" cy="4203007"/>
                    </a:xfrm>
                    <a:prstGeom prst="rect">
                      <a:avLst/>
                    </a:prstGeom>
                  </pic:spPr>
                </pic:pic>
              </a:graphicData>
            </a:graphic>
          </wp:inline>
        </w:drawing>
      </w:r>
    </w:p>
    <w:p w14:paraId="7F4C42AD" w14:textId="77777777" w:rsidR="00D82F7D" w:rsidRDefault="00D82F7D" w:rsidP="0022007E">
      <w:pPr>
        <w:jc w:val="both"/>
        <w:rPr>
          <w:rFonts w:ascii="Helvetica" w:eastAsia="Times New Roman" w:hAnsi="Helvetica" w:cs="Times New Roman"/>
          <w:kern w:val="0"/>
          <w:sz w:val="20"/>
          <w:szCs w:val="20"/>
          <w:lang w:eastAsia="en-GB"/>
          <w14:ligatures w14:val="none"/>
        </w:rPr>
      </w:pPr>
    </w:p>
    <w:p w14:paraId="3BAD3E79" w14:textId="7F8BBBC4" w:rsidR="00D82F7D" w:rsidRDefault="00045860"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Explore the notebook and change the lookback periods or ticker symbols to see how the correlation changes over time.</w:t>
      </w:r>
    </w:p>
    <w:p w14:paraId="2DFC1009" w14:textId="5599D93C" w:rsidR="00FF685B" w:rsidRPr="005412CE" w:rsidRDefault="009350DC" w:rsidP="0022007E">
      <w:pPr>
        <w:jc w:val="both"/>
        <w:rPr>
          <w:rFonts w:ascii="Helvetica" w:eastAsia="Times New Roman" w:hAnsi="Helvetica" w:cs="Times New Roman"/>
          <w:b/>
          <w:bCs/>
          <w:kern w:val="0"/>
          <w:sz w:val="20"/>
          <w:szCs w:val="20"/>
          <w:lang w:eastAsia="en-GB"/>
          <w14:ligatures w14:val="none"/>
        </w:rPr>
      </w:pPr>
      <w:r w:rsidRPr="005412CE">
        <w:rPr>
          <w:rFonts w:ascii="Helvetica" w:eastAsia="Times New Roman" w:hAnsi="Helvetica" w:cs="Times New Roman"/>
          <w:b/>
          <w:bCs/>
          <w:kern w:val="0"/>
          <w:sz w:val="20"/>
          <w:szCs w:val="20"/>
          <w:lang w:eastAsia="en-GB"/>
          <w14:ligatures w14:val="none"/>
        </w:rPr>
        <w:lastRenderedPageBreak/>
        <w:t xml:space="preserve">Average </w:t>
      </w:r>
      <w:r w:rsidR="005412CE" w:rsidRPr="005412CE">
        <w:rPr>
          <w:rFonts w:ascii="Helvetica" w:eastAsia="Times New Roman" w:hAnsi="Helvetica" w:cs="Times New Roman"/>
          <w:b/>
          <w:bCs/>
          <w:kern w:val="0"/>
          <w:sz w:val="20"/>
          <w:szCs w:val="20"/>
          <w:lang w:eastAsia="en-GB"/>
          <w14:ligatures w14:val="none"/>
        </w:rPr>
        <w:t>Rolling Correlation</w:t>
      </w:r>
    </w:p>
    <w:p w14:paraId="60948B2E" w14:textId="77777777" w:rsidR="005412CE" w:rsidRDefault="005412CE" w:rsidP="0022007E">
      <w:pPr>
        <w:jc w:val="both"/>
        <w:rPr>
          <w:rFonts w:ascii="Helvetica" w:eastAsia="Times New Roman" w:hAnsi="Helvetica" w:cs="Times New Roman"/>
          <w:kern w:val="0"/>
          <w:sz w:val="20"/>
          <w:szCs w:val="20"/>
          <w:lang w:eastAsia="en-GB"/>
          <w14:ligatures w14:val="none"/>
        </w:rPr>
      </w:pPr>
    </w:p>
    <w:p w14:paraId="71F6FBC3" w14:textId="1E654132" w:rsidR="009150DF" w:rsidRDefault="009150DF" w:rsidP="0022007E">
      <w:pPr>
        <w:jc w:val="both"/>
        <w:rPr>
          <w:rFonts w:ascii="Helvetica" w:eastAsia="Times New Roman" w:hAnsi="Helvetica" w:cs="Times New Roman"/>
          <w:kern w:val="0"/>
          <w:sz w:val="20"/>
          <w:szCs w:val="20"/>
          <w:lang w:eastAsia="en-GB"/>
          <w14:ligatures w14:val="none"/>
        </w:rPr>
      </w:pPr>
      <w:r w:rsidRPr="009150DF">
        <w:rPr>
          <w:rFonts w:ascii="Helvetica" w:eastAsia="Times New Roman" w:hAnsi="Helvetica" w:cs="Times New Roman"/>
          <w:kern w:val="0"/>
          <w:sz w:val="20"/>
          <w:szCs w:val="20"/>
          <w:lang w:eastAsia="en-GB"/>
          <w14:ligatures w14:val="none"/>
        </w:rPr>
        <w:t>While rolling correlations provide pairwise measures of how two assets move together over time, analy</w:t>
      </w:r>
      <w:r w:rsidR="000F2A5F">
        <w:rPr>
          <w:rFonts w:ascii="Helvetica" w:eastAsia="Times New Roman" w:hAnsi="Helvetica" w:cs="Times New Roman"/>
          <w:kern w:val="0"/>
          <w:sz w:val="20"/>
          <w:szCs w:val="20"/>
          <w:lang w:eastAsia="en-GB"/>
          <w14:ligatures w14:val="none"/>
        </w:rPr>
        <w:t>s</w:t>
      </w:r>
      <w:r w:rsidRPr="009150DF">
        <w:rPr>
          <w:rFonts w:ascii="Helvetica" w:eastAsia="Times New Roman" w:hAnsi="Helvetica" w:cs="Times New Roman"/>
          <w:kern w:val="0"/>
          <w:sz w:val="20"/>
          <w:szCs w:val="20"/>
          <w:lang w:eastAsia="en-GB"/>
          <w14:ligatures w14:val="none"/>
        </w:rPr>
        <w:t>ing all pairwise correlations individually can quickly become overwhelming, especially when dealing with large multi-asset portfolios. Each rolling correlation series tells you about one relationship, but it can be difficult to extract a broader, high-level view of market behavio</w:t>
      </w:r>
      <w:r w:rsidR="00963882">
        <w:rPr>
          <w:rFonts w:ascii="Helvetica" w:eastAsia="Times New Roman" w:hAnsi="Helvetica" w:cs="Times New Roman"/>
          <w:kern w:val="0"/>
          <w:sz w:val="20"/>
          <w:szCs w:val="20"/>
          <w:lang w:eastAsia="en-GB"/>
          <w14:ligatures w14:val="none"/>
        </w:rPr>
        <w:t>u</w:t>
      </w:r>
      <w:r w:rsidRPr="009150DF">
        <w:rPr>
          <w:rFonts w:ascii="Helvetica" w:eastAsia="Times New Roman" w:hAnsi="Helvetica" w:cs="Times New Roman"/>
          <w:kern w:val="0"/>
          <w:sz w:val="20"/>
          <w:szCs w:val="20"/>
          <w:lang w:eastAsia="en-GB"/>
          <w14:ligatures w14:val="none"/>
        </w:rPr>
        <w:t>r from hundreds or thousands of pairwise correlations.</w:t>
      </w:r>
      <w:r w:rsidR="002C4B89">
        <w:rPr>
          <w:rFonts w:ascii="Helvetica" w:eastAsia="Times New Roman" w:hAnsi="Helvetica" w:cs="Times New Roman"/>
          <w:kern w:val="0"/>
          <w:sz w:val="20"/>
          <w:szCs w:val="20"/>
          <w:lang w:eastAsia="en-GB"/>
          <w14:ligatures w14:val="none"/>
        </w:rPr>
        <w:t xml:space="preserve"> I mean, it is nice to see the animated charts for rolling correlation, but it does not answer the broader questions in risk-management.</w:t>
      </w:r>
    </w:p>
    <w:p w14:paraId="2D3E3D37" w14:textId="77777777" w:rsidR="002C4B89" w:rsidRPr="009150DF" w:rsidRDefault="002C4B89" w:rsidP="0022007E">
      <w:pPr>
        <w:jc w:val="both"/>
        <w:rPr>
          <w:rFonts w:ascii="Helvetica" w:eastAsia="Times New Roman" w:hAnsi="Helvetica" w:cs="Times New Roman"/>
          <w:kern w:val="0"/>
          <w:sz w:val="20"/>
          <w:szCs w:val="20"/>
          <w:lang w:eastAsia="en-GB"/>
          <w14:ligatures w14:val="none"/>
        </w:rPr>
      </w:pPr>
    </w:p>
    <w:p w14:paraId="2B254B7F" w14:textId="77777777" w:rsidR="009150DF" w:rsidRPr="009150DF" w:rsidRDefault="009150DF" w:rsidP="0022007E">
      <w:pPr>
        <w:jc w:val="both"/>
        <w:rPr>
          <w:rFonts w:ascii="Helvetica" w:eastAsia="Times New Roman" w:hAnsi="Helvetica" w:cs="Times New Roman"/>
          <w:kern w:val="0"/>
          <w:sz w:val="20"/>
          <w:szCs w:val="20"/>
          <w:lang w:eastAsia="en-GB"/>
          <w14:ligatures w14:val="none"/>
        </w:rPr>
      </w:pPr>
      <w:r w:rsidRPr="009150DF">
        <w:rPr>
          <w:rFonts w:ascii="Helvetica" w:eastAsia="Times New Roman" w:hAnsi="Helvetica" w:cs="Times New Roman"/>
          <w:kern w:val="0"/>
          <w:sz w:val="20"/>
          <w:szCs w:val="20"/>
          <w:lang w:eastAsia="en-GB"/>
          <w14:ligatures w14:val="none"/>
        </w:rPr>
        <w:t>To address this, we compute the average rolling correlation across all assets in a given asset class or portfolio. Mathematically, for a set of </w:t>
      </w:r>
      <m:oMath>
        <m:r>
          <w:rPr>
            <w:rFonts w:ascii="Cambria Math" w:eastAsia="Times New Roman" w:hAnsi="Cambria Math" w:cs="Times New Roman"/>
            <w:kern w:val="0"/>
            <w:sz w:val="20"/>
            <w:szCs w:val="20"/>
            <w:lang w:eastAsia="en-GB"/>
            <w14:ligatures w14:val="none"/>
          </w:rPr>
          <m:t>N</m:t>
        </m:r>
      </m:oMath>
      <w:r w:rsidRPr="009150DF">
        <w:rPr>
          <w:rFonts w:ascii="Helvetica" w:eastAsia="Times New Roman" w:hAnsi="Helvetica" w:cs="Times New Roman"/>
          <w:kern w:val="0"/>
          <w:sz w:val="20"/>
          <w:szCs w:val="20"/>
          <w:lang w:eastAsia="en-GB"/>
          <w14:ligatures w14:val="none"/>
        </w:rPr>
        <w:t> assets with rolling correlations </w:t>
      </w:r>
      <m:oMath>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i</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j</m:t>
            </m:r>
          </m:sub>
        </m:sSub>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t</m:t>
        </m:r>
        <m:r>
          <m:rPr>
            <m:sty m:val="p"/>
          </m:rPr>
          <w:rPr>
            <w:rFonts w:ascii="Cambria Math" w:eastAsia="Times New Roman" w:hAnsi="Cambria Math" w:cs="Times New Roman"/>
            <w:kern w:val="0"/>
            <w:sz w:val="20"/>
            <w:szCs w:val="20"/>
            <w:lang w:eastAsia="en-GB"/>
            <w14:ligatures w14:val="none"/>
          </w:rPr>
          <m:t>)</m:t>
        </m:r>
      </m:oMath>
      <w:r w:rsidRPr="009150DF">
        <w:rPr>
          <w:rFonts w:ascii="Helvetica" w:eastAsia="Times New Roman" w:hAnsi="Helvetica" w:cs="Times New Roman"/>
          <w:kern w:val="0"/>
          <w:sz w:val="20"/>
          <w:szCs w:val="20"/>
          <w:lang w:eastAsia="en-GB"/>
          <w14:ligatures w14:val="none"/>
        </w:rPr>
        <w:t> at time </w:t>
      </w:r>
      <m:oMath>
        <m:r>
          <w:rPr>
            <w:rFonts w:ascii="Cambria Math" w:eastAsia="Times New Roman" w:hAnsi="Cambria Math" w:cs="Times New Roman"/>
            <w:kern w:val="0"/>
            <w:sz w:val="20"/>
            <w:szCs w:val="20"/>
            <w:lang w:eastAsia="en-GB"/>
            <w14:ligatures w14:val="none"/>
          </w:rPr>
          <m:t>t</m:t>
        </m:r>
      </m:oMath>
      <w:r w:rsidRPr="009150DF">
        <w:rPr>
          <w:rFonts w:ascii="Helvetica" w:eastAsia="Times New Roman" w:hAnsi="Helvetica" w:cs="Times New Roman"/>
          <w:kern w:val="0"/>
          <w:sz w:val="20"/>
          <w:szCs w:val="20"/>
          <w:lang w:eastAsia="en-GB"/>
          <w14:ligatures w14:val="none"/>
        </w:rPr>
        <w:t>, the average rolling correlation is:</w:t>
      </w:r>
    </w:p>
    <w:p w14:paraId="13B7D8B3" w14:textId="77777777" w:rsidR="00FF7F1C" w:rsidRDefault="009150DF" w:rsidP="0022007E">
      <w:pPr>
        <w:jc w:val="both"/>
        <w:rPr>
          <w:rFonts w:ascii="Helvetica" w:eastAsia="Times New Roman" w:hAnsi="Helvetica" w:cs="Times New Roman"/>
          <w:kern w:val="0"/>
          <w:sz w:val="20"/>
          <w:szCs w:val="20"/>
          <w:lang w:eastAsia="en-GB"/>
          <w14:ligatures w14:val="none"/>
        </w:rPr>
      </w:pPr>
      <m:oMathPara>
        <m:oMath>
          <m:acc>
            <m:accPr>
              <m:chr m:val="ˉ"/>
              <m:ctrlPr>
                <w:rPr>
                  <w:rFonts w:ascii="Cambria Math" w:eastAsia="Times New Roman" w:hAnsi="Cambria Math" w:cs="Times New Roman"/>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ρ</m:t>
              </m:r>
            </m:e>
          </m:acc>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t</m:t>
          </m:r>
          <m:r>
            <m:rPr>
              <m:sty m:val="p"/>
            </m:rP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kern w:val="0"/>
                  <w:sz w:val="20"/>
                  <w:szCs w:val="20"/>
                  <w:lang w:eastAsia="en-GB"/>
                  <w14:ligatures w14:val="none"/>
                </w:rPr>
              </m:ctrlPr>
            </m:fPr>
            <m:num>
              <m:r>
                <m:rPr>
                  <m:sty m:val="p"/>
                </m:rPr>
                <w:rPr>
                  <w:rFonts w:ascii="Cambria Math" w:eastAsia="Times New Roman" w:hAnsi="Cambria Math" w:cs="Times New Roman"/>
                  <w:kern w:val="0"/>
                  <w:sz w:val="20"/>
                  <w:szCs w:val="20"/>
                  <w:lang w:eastAsia="en-GB"/>
                  <w14:ligatures w14:val="none"/>
                </w:rPr>
                <m:t>2</m:t>
              </m:r>
            </m:num>
            <m:den>
              <m:r>
                <w:rPr>
                  <w:rFonts w:ascii="Cambria Math" w:eastAsia="Times New Roman" w:hAnsi="Cambria Math" w:cs="Times New Roman"/>
                  <w:kern w:val="0"/>
                  <w:sz w:val="20"/>
                  <w:szCs w:val="20"/>
                  <w:lang w:eastAsia="en-GB"/>
                  <w14:ligatures w14:val="none"/>
                </w:rPr>
                <m:t>N</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N</m:t>
              </m:r>
              <m:r>
                <m:rPr>
                  <m:sty m:val="p"/>
                </m:rPr>
                <w:rPr>
                  <w:rFonts w:ascii="Cambria Math" w:eastAsia="Times New Roman" w:hAnsi="Cambria Math" w:cs="Times New Roman"/>
                  <w:kern w:val="0"/>
                  <w:sz w:val="20"/>
                  <w:szCs w:val="20"/>
                  <w:lang w:eastAsia="en-GB"/>
                  <w14:ligatures w14:val="none"/>
                </w:rPr>
                <m:t>-1)</m:t>
              </m:r>
            </m:den>
          </m:f>
          <m:nary>
            <m:naryPr>
              <m:chr m:val="∑"/>
              <m:limLoc m:val="undOvr"/>
              <m:grow m:val="1"/>
              <m:supHide m:val="1"/>
              <m:ctrlPr>
                <w:rPr>
                  <w:rFonts w:ascii="Cambria Math" w:eastAsia="Times New Roman" w:hAnsi="Cambria Math" w:cs="Times New Roman"/>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m:t>
              </m:r>
              <m:r>
                <m:rPr>
                  <m:sty m:val="p"/>
                </m:rPr>
                <w:rPr>
                  <w:rFonts w:ascii="Cambria Math" w:eastAsia="Times New Roman" w:hAnsi="Cambria Math" w:cs="Times New Roman"/>
                  <w:kern w:val="0"/>
                  <w:sz w:val="20"/>
                  <w:szCs w:val="20"/>
                  <w:lang w:eastAsia="en-GB"/>
                  <w14:ligatures w14:val="none"/>
                </w:rPr>
                <m:t>&lt;</m:t>
              </m:r>
              <m:r>
                <w:rPr>
                  <w:rFonts w:ascii="Cambria Math" w:eastAsia="Times New Roman" w:hAnsi="Cambria Math" w:cs="Times New Roman"/>
                  <w:kern w:val="0"/>
                  <w:sz w:val="20"/>
                  <w:szCs w:val="20"/>
                  <w:lang w:eastAsia="en-GB"/>
                  <w14:ligatures w14:val="none"/>
                </w:rPr>
                <m:t>j</m:t>
              </m:r>
            </m:sub>
            <m:sup/>
            <m:e>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i</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j</m:t>
                  </m:r>
                </m:sub>
              </m:sSub>
            </m:e>
          </m:nary>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t</m:t>
          </m:r>
          <m:r>
            <m:rPr>
              <m:sty m:val="p"/>
            </m:rPr>
            <w:rPr>
              <w:rFonts w:ascii="Cambria Math" w:eastAsia="Times New Roman" w:hAnsi="Cambria Math" w:cs="Times New Roman"/>
              <w:kern w:val="0"/>
              <w:sz w:val="20"/>
              <w:szCs w:val="20"/>
              <w:lang w:eastAsia="en-GB"/>
              <w14:ligatures w14:val="none"/>
            </w:rPr>
            <m:t>)</m:t>
          </m:r>
          <m:r>
            <w:rPr>
              <w:rFonts w:ascii="Helvetica" w:eastAsia="Times New Roman" w:hAnsi="Helvetica" w:cs="Times New Roman"/>
              <w:kern w:val="0"/>
              <w:sz w:val="20"/>
              <w:szCs w:val="20"/>
              <w:lang w:eastAsia="en-GB"/>
              <w14:ligatures w14:val="none"/>
            </w:rPr>
            <w:br/>
          </m:r>
        </m:oMath>
      </m:oMathPara>
    </w:p>
    <w:p w14:paraId="50CE10F1" w14:textId="205287F1" w:rsidR="009150DF" w:rsidRDefault="00FF7F1C"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You can think of the above formula as taking the average of the</w:t>
      </w:r>
      <w:r w:rsidR="00D22702">
        <w:rPr>
          <w:rFonts w:ascii="Helvetica" w:eastAsia="Times New Roman" w:hAnsi="Helvetica" w:cs="Times New Roman"/>
          <w:kern w:val="0"/>
          <w:sz w:val="20"/>
          <w:szCs w:val="20"/>
          <w:lang w:eastAsia="en-GB"/>
          <w14:ligatures w14:val="none"/>
        </w:rPr>
        <w:t xml:space="preserve"> </w:t>
      </w:r>
      <w:r w:rsidR="00487D99">
        <w:rPr>
          <w:rFonts w:ascii="Helvetica" w:eastAsia="Times New Roman" w:hAnsi="Helvetica" w:cs="Times New Roman"/>
          <w:kern w:val="0"/>
          <w:sz w:val="20"/>
          <w:szCs w:val="20"/>
          <w:lang w:eastAsia="en-GB"/>
          <w14:ligatures w14:val="none"/>
        </w:rPr>
        <w:t xml:space="preserve">correlation </w:t>
      </w:r>
      <w:r w:rsidR="00D22702">
        <w:rPr>
          <w:rFonts w:ascii="Helvetica" w:eastAsia="Times New Roman" w:hAnsi="Helvetica" w:cs="Times New Roman"/>
          <w:kern w:val="0"/>
          <w:sz w:val="20"/>
          <w:szCs w:val="20"/>
          <w:lang w:eastAsia="en-GB"/>
          <w14:ligatures w14:val="none"/>
        </w:rPr>
        <w:t>values in our upper/lower</w:t>
      </w:r>
      <w:r>
        <w:rPr>
          <w:rFonts w:ascii="Helvetica" w:eastAsia="Times New Roman" w:hAnsi="Helvetica" w:cs="Times New Roman"/>
          <w:kern w:val="0"/>
          <w:sz w:val="20"/>
          <w:szCs w:val="20"/>
          <w:lang w:eastAsia="en-GB"/>
          <w14:ligatures w14:val="none"/>
        </w:rPr>
        <w:t xml:space="preserve"> </w:t>
      </w:r>
      <w:r w:rsidR="009F7387">
        <w:rPr>
          <w:rFonts w:ascii="Helvetica" w:eastAsia="Times New Roman" w:hAnsi="Helvetica" w:cs="Times New Roman"/>
          <w:kern w:val="0"/>
          <w:sz w:val="20"/>
          <w:szCs w:val="20"/>
          <w:lang w:eastAsia="en-GB"/>
          <w14:ligatures w14:val="none"/>
        </w:rPr>
        <w:t xml:space="preserve">triangle </w:t>
      </w:r>
      <w:r w:rsidR="001245E0">
        <w:rPr>
          <w:rFonts w:ascii="Helvetica" w:eastAsia="Times New Roman" w:hAnsi="Helvetica" w:cs="Times New Roman"/>
          <w:kern w:val="0"/>
          <w:sz w:val="20"/>
          <w:szCs w:val="20"/>
          <w:lang w:eastAsia="en-GB"/>
          <w14:ligatures w14:val="none"/>
        </w:rPr>
        <w:t xml:space="preserve">(in blue) </w:t>
      </w:r>
      <w:r w:rsidR="009F7387">
        <w:rPr>
          <w:rFonts w:ascii="Helvetica" w:eastAsia="Times New Roman" w:hAnsi="Helvetica" w:cs="Times New Roman"/>
          <w:kern w:val="0"/>
          <w:sz w:val="20"/>
          <w:szCs w:val="20"/>
          <w:lang w:eastAsia="en-GB"/>
          <w14:ligatures w14:val="none"/>
        </w:rPr>
        <w:t>in</w:t>
      </w:r>
      <w:r w:rsidR="00BE0EB7">
        <w:rPr>
          <w:rFonts w:ascii="Helvetica" w:eastAsia="Times New Roman" w:hAnsi="Helvetica" w:cs="Times New Roman"/>
          <w:kern w:val="0"/>
          <w:sz w:val="20"/>
          <w:szCs w:val="20"/>
          <w:lang w:eastAsia="en-GB"/>
          <w14:ligatures w14:val="none"/>
        </w:rPr>
        <w:t>side</w:t>
      </w:r>
      <w:r w:rsidR="009F7387">
        <w:rPr>
          <w:rFonts w:ascii="Helvetica" w:eastAsia="Times New Roman" w:hAnsi="Helvetica" w:cs="Times New Roman"/>
          <w:kern w:val="0"/>
          <w:sz w:val="20"/>
          <w:szCs w:val="20"/>
          <w:lang w:eastAsia="en-GB"/>
          <w14:ligatures w14:val="none"/>
        </w:rPr>
        <w:t xml:space="preserve"> our correlation matrix</w:t>
      </w:r>
      <w:r w:rsidR="00766EFD">
        <w:rPr>
          <w:rFonts w:ascii="Helvetica" w:eastAsia="Times New Roman" w:hAnsi="Helvetica" w:cs="Times New Roman"/>
          <w:kern w:val="0"/>
          <w:sz w:val="20"/>
          <w:szCs w:val="20"/>
          <w:lang w:eastAsia="en-GB"/>
          <w14:ligatures w14:val="none"/>
        </w:rPr>
        <w:t>.</w:t>
      </w:r>
    </w:p>
    <w:p w14:paraId="14782809" w14:textId="498E8545" w:rsidR="004E1D09" w:rsidRDefault="009F3D8F"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mc:AlternateContent>
          <mc:Choice Requires="wps">
            <w:drawing>
              <wp:anchor distT="0" distB="0" distL="114300" distR="114300" simplePos="0" relativeHeight="251659264" behindDoc="0" locked="0" layoutInCell="1" allowOverlap="1" wp14:anchorId="7B9B7670" wp14:editId="2C27DA81">
                <wp:simplePos x="0" y="0"/>
                <wp:positionH relativeFrom="column">
                  <wp:posOffset>1439545</wp:posOffset>
                </wp:positionH>
                <wp:positionV relativeFrom="paragraph">
                  <wp:posOffset>121574</wp:posOffset>
                </wp:positionV>
                <wp:extent cx="3032586" cy="3052619"/>
                <wp:effectExtent l="12700" t="50800" r="66675" b="20955"/>
                <wp:wrapNone/>
                <wp:docPr id="337215492" name="Right Triangle 3"/>
                <wp:cNvGraphicFramePr/>
                <a:graphic xmlns:a="http://schemas.openxmlformats.org/drawingml/2006/main">
                  <a:graphicData uri="http://schemas.microsoft.com/office/word/2010/wordprocessingShape">
                    <wps:wsp>
                      <wps:cNvSpPr/>
                      <wps:spPr>
                        <a:xfrm>
                          <a:off x="0" y="0"/>
                          <a:ext cx="3032586" cy="3052619"/>
                        </a:xfrm>
                        <a:prstGeom prst="rtTriangle">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5E58BF" id="_x0000_t6" coordsize="21600,21600" o:spt="6" path="m,l,21600r21600,xe">
                <v:stroke joinstyle="miter"/>
                <v:path gradientshapeok="t" o:connecttype="custom" o:connectlocs="0,0;0,10800;0,21600;10800,21600;21600,21600;10800,10800" textboxrect="1800,12600,12600,19800"/>
              </v:shapetype>
              <v:shape id="Right Triangle 3" o:spid="_x0000_s1026" type="#_x0000_t6" style="position:absolute;margin-left:113.35pt;margin-top:9.55pt;width:238.8pt;height:24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" filled="f" strokecolor="#00b0f0" strokeweight="3pt"/>
            </w:pict>
          </mc:Fallback>
        </mc:AlternateContent>
      </w:r>
    </w:p>
    <w:p w14:paraId="2CB3568D" w14:textId="18AE7719" w:rsidR="0060414B" w:rsidRPr="009150DF" w:rsidRDefault="004E1D09" w:rsidP="006F72DB">
      <w:pPr>
        <w:jc w:val="center"/>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w:drawing>
          <wp:inline distT="0" distB="0" distL="0" distR="0" wp14:anchorId="594BE044" wp14:editId="43401DAB">
            <wp:extent cx="3299690" cy="3292016"/>
            <wp:effectExtent l="0" t="0" r="2540" b="0"/>
            <wp:docPr id="79815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201" name="Picture 79815201"/>
                    <pic:cNvPicPr/>
                  </pic:nvPicPr>
                  <pic:blipFill>
                    <a:blip r:embed="rId8">
                      <a:extLst>
                        <a:ext uri="{28A0092B-C50C-407E-A947-70E740481C1C}">
                          <a14:useLocalDpi xmlns:a14="http://schemas.microsoft.com/office/drawing/2010/main" val="0"/>
                        </a:ext>
                      </a:extLst>
                    </a:blip>
                    <a:stretch>
                      <a:fillRect/>
                    </a:stretch>
                  </pic:blipFill>
                  <pic:spPr>
                    <a:xfrm>
                      <a:off x="0" y="0"/>
                      <a:ext cx="3328575" cy="3320834"/>
                    </a:xfrm>
                    <a:prstGeom prst="rect">
                      <a:avLst/>
                    </a:prstGeom>
                  </pic:spPr>
                </pic:pic>
              </a:graphicData>
            </a:graphic>
          </wp:inline>
        </w:drawing>
      </w:r>
    </w:p>
    <w:p w14:paraId="0C6CC42C" w14:textId="70A74A07" w:rsidR="009150DF" w:rsidRDefault="009150DF" w:rsidP="0022007E">
      <w:pPr>
        <w:jc w:val="both"/>
        <w:rPr>
          <w:rFonts w:ascii="Helvetica" w:eastAsia="Times New Roman" w:hAnsi="Helvetica" w:cs="Times New Roman"/>
          <w:kern w:val="0"/>
          <w:sz w:val="20"/>
          <w:szCs w:val="20"/>
          <w:lang w:eastAsia="en-GB"/>
          <w14:ligatures w14:val="none"/>
        </w:rPr>
      </w:pPr>
      <w:r w:rsidRPr="009150DF">
        <w:rPr>
          <w:rFonts w:ascii="Helvetica" w:eastAsia="Times New Roman" w:hAnsi="Helvetica" w:cs="Times New Roman"/>
          <w:kern w:val="0"/>
          <w:sz w:val="20"/>
          <w:szCs w:val="20"/>
          <w:lang w:eastAsia="en-GB"/>
          <w14:ligatures w14:val="none"/>
        </w:rPr>
        <w:t>This average gives a single time series that summarizes the overall co-movement of the entire portfolio or asset class.</w:t>
      </w:r>
      <w:r w:rsidR="00E3114D">
        <w:rPr>
          <w:rFonts w:ascii="Helvetica" w:eastAsia="Times New Roman" w:hAnsi="Helvetica" w:cs="Times New Roman"/>
          <w:kern w:val="0"/>
          <w:sz w:val="20"/>
          <w:szCs w:val="20"/>
          <w:lang w:eastAsia="en-GB"/>
          <w14:ligatures w14:val="none"/>
        </w:rPr>
        <w:t xml:space="preserve"> </w:t>
      </w:r>
      <w:r w:rsidR="00885339">
        <w:rPr>
          <w:rFonts w:ascii="Helvetica" w:eastAsia="Times New Roman" w:hAnsi="Helvetica" w:cs="Times New Roman"/>
          <w:kern w:val="0"/>
          <w:sz w:val="20"/>
          <w:szCs w:val="20"/>
          <w:lang w:eastAsia="en-GB"/>
          <w14:ligatures w14:val="none"/>
        </w:rPr>
        <w:t xml:space="preserve">For our python code, we simply took the average </w:t>
      </w:r>
      <w:r w:rsidR="007900C5">
        <w:rPr>
          <w:rFonts w:ascii="Helvetica" w:eastAsia="Times New Roman" w:hAnsi="Helvetica" w:cs="Times New Roman"/>
          <w:kern w:val="0"/>
          <w:sz w:val="20"/>
          <w:szCs w:val="20"/>
          <w:lang w:eastAsia="en-GB"/>
          <w14:ligatures w14:val="none"/>
        </w:rPr>
        <w:t>of all the correlation values (less the diagonals)</w:t>
      </w:r>
      <w:r w:rsidR="006774BC">
        <w:rPr>
          <w:rFonts w:ascii="Helvetica" w:eastAsia="Times New Roman" w:hAnsi="Helvetica" w:cs="Times New Roman"/>
          <w:kern w:val="0"/>
          <w:sz w:val="20"/>
          <w:szCs w:val="20"/>
          <w:lang w:eastAsia="en-GB"/>
          <w14:ligatures w14:val="none"/>
        </w:rPr>
        <w:t xml:space="preserve"> using the snippet below.</w:t>
      </w:r>
    </w:p>
    <w:p w14:paraId="305A434F" w14:textId="77777777" w:rsidR="006774BC" w:rsidRDefault="006774BC" w:rsidP="0022007E">
      <w:pPr>
        <w:jc w:val="both"/>
        <w:rPr>
          <w:rFonts w:ascii="Helvetica" w:eastAsia="Times New Roman" w:hAnsi="Helvetica" w:cs="Times New Roman"/>
          <w:kern w:val="0"/>
          <w:sz w:val="20"/>
          <w:szCs w:val="20"/>
          <w:lang w:eastAsia="en-GB"/>
          <w14:ligatures w14:val="none"/>
        </w:rPr>
      </w:pPr>
    </w:p>
    <w:p w14:paraId="33D43336" w14:textId="352ABBEB" w:rsidR="006774BC" w:rsidRPr="009150DF" w:rsidRDefault="007D3C20" w:rsidP="005F3871">
      <w:pPr>
        <w:jc w:val="center"/>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w:drawing>
          <wp:inline distT="0" distB="0" distL="0" distR="0" wp14:anchorId="4377ED2E" wp14:editId="5679D93A">
            <wp:extent cx="5731510" cy="182880"/>
            <wp:effectExtent l="0" t="0" r="0" b="0"/>
            <wp:docPr id="1192669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9304" name="Picture 1192669304"/>
                    <pic:cNvPicPr/>
                  </pic:nvPicPr>
                  <pic:blipFill>
                    <a:blip r:embed="rId9">
                      <a:extLst>
                        <a:ext uri="{28A0092B-C50C-407E-A947-70E740481C1C}">
                          <a14:useLocalDpi xmlns:a14="http://schemas.microsoft.com/office/drawing/2010/main" val="0"/>
                        </a:ext>
                      </a:extLst>
                    </a:blip>
                    <a:stretch>
                      <a:fillRect/>
                    </a:stretch>
                  </pic:blipFill>
                  <pic:spPr>
                    <a:xfrm>
                      <a:off x="0" y="0"/>
                      <a:ext cx="5731510" cy="182880"/>
                    </a:xfrm>
                    <a:prstGeom prst="rect">
                      <a:avLst/>
                    </a:prstGeom>
                  </pic:spPr>
                </pic:pic>
              </a:graphicData>
            </a:graphic>
          </wp:inline>
        </w:drawing>
      </w:r>
    </w:p>
    <w:p w14:paraId="16C4793D" w14:textId="77777777" w:rsidR="005412CE" w:rsidRDefault="005412CE" w:rsidP="0022007E">
      <w:pPr>
        <w:jc w:val="both"/>
        <w:rPr>
          <w:rFonts w:ascii="Helvetica" w:eastAsia="Times New Roman" w:hAnsi="Helvetica" w:cs="Times New Roman"/>
          <w:kern w:val="0"/>
          <w:sz w:val="20"/>
          <w:szCs w:val="20"/>
          <w:lang w:eastAsia="en-GB"/>
          <w14:ligatures w14:val="none"/>
        </w:rPr>
      </w:pPr>
    </w:p>
    <w:p w14:paraId="5580318B" w14:textId="56240D53" w:rsidR="007D3C20" w:rsidRDefault="00330A4E"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 xml:space="preserve">Computing the rolling mean correlations and plotting the values over time, we got the following charts for each of our asset classes. We also included </w:t>
      </w:r>
      <w:r w:rsidR="00F81AC2">
        <w:rPr>
          <w:rFonts w:ascii="Helvetica" w:eastAsia="Times New Roman" w:hAnsi="Helvetica" w:cs="Times New Roman"/>
          <w:kern w:val="0"/>
          <w:sz w:val="20"/>
          <w:szCs w:val="20"/>
          <w:lang w:eastAsia="en-GB"/>
          <w14:ligatures w14:val="none"/>
        </w:rPr>
        <w:t xml:space="preserve">some risk-off </w:t>
      </w:r>
      <w:r w:rsidR="00F875B0">
        <w:rPr>
          <w:rFonts w:ascii="Helvetica" w:eastAsia="Times New Roman" w:hAnsi="Helvetica" w:cs="Times New Roman"/>
          <w:kern w:val="0"/>
          <w:sz w:val="20"/>
          <w:szCs w:val="20"/>
          <w:lang w:eastAsia="en-GB"/>
          <w14:ligatures w14:val="none"/>
        </w:rPr>
        <w:t xml:space="preserve">and macro-shocks that heightened overall volatility to show how </w:t>
      </w:r>
      <w:r w:rsidR="001F44FC">
        <w:rPr>
          <w:rFonts w:ascii="Helvetica" w:eastAsia="Times New Roman" w:hAnsi="Helvetica" w:cs="Times New Roman"/>
          <w:kern w:val="0"/>
          <w:sz w:val="20"/>
          <w:szCs w:val="20"/>
          <w:lang w:eastAsia="en-GB"/>
          <w14:ligatures w14:val="none"/>
        </w:rPr>
        <w:t>correlation may move</w:t>
      </w:r>
      <w:r w:rsidR="006F67B8">
        <w:rPr>
          <w:rFonts w:ascii="Helvetica" w:eastAsia="Times New Roman" w:hAnsi="Helvetica" w:cs="Times New Roman"/>
          <w:kern w:val="0"/>
          <w:sz w:val="20"/>
          <w:szCs w:val="20"/>
          <w:lang w:eastAsia="en-GB"/>
          <w14:ligatures w14:val="none"/>
        </w:rPr>
        <w:t>.</w:t>
      </w:r>
    </w:p>
    <w:p w14:paraId="26BDE058" w14:textId="77777777" w:rsidR="006F67B8" w:rsidRDefault="006F67B8" w:rsidP="0022007E">
      <w:pPr>
        <w:jc w:val="both"/>
        <w:rPr>
          <w:rFonts w:ascii="Helvetica" w:eastAsia="Times New Roman" w:hAnsi="Helvetica" w:cs="Times New Roman"/>
          <w:kern w:val="0"/>
          <w:sz w:val="20"/>
          <w:szCs w:val="20"/>
          <w:lang w:eastAsia="en-GB"/>
          <w14:ligatures w14:val="none"/>
        </w:rPr>
      </w:pPr>
    </w:p>
    <w:p w14:paraId="4BD7DA16" w14:textId="07F54E83" w:rsidR="007D3C20" w:rsidRDefault="004925B0" w:rsidP="00C0588E">
      <w:pPr>
        <w:rPr>
          <w:rFonts w:ascii="Helvetica" w:eastAsia="Times New Roman" w:hAnsi="Helvetica" w:cs="Times New Roman"/>
          <w:kern w:val="0"/>
          <w:sz w:val="20"/>
          <w:szCs w:val="20"/>
          <w:lang w:eastAsia="en-GB"/>
          <w14:ligatures w14:val="none"/>
        </w:rPr>
      </w:pPr>
      <w:r w:rsidRPr="004925B0">
        <w:rPr>
          <w:rFonts w:ascii="Helvetica" w:eastAsia="Times New Roman" w:hAnsi="Helvetica" w:cs="Times New Roman"/>
          <w:kern w:val="0"/>
          <w:sz w:val="20"/>
          <w:szCs w:val="20"/>
          <w:lang w:eastAsia="en-GB"/>
          <w14:ligatures w14:val="none"/>
        </w:rPr>
        <w:lastRenderedPageBreak/>
        <w:drawing>
          <wp:inline distT="0" distB="0" distL="0" distR="0" wp14:anchorId="1F041A04" wp14:editId="325E2F04">
            <wp:extent cx="5731510" cy="2138680"/>
            <wp:effectExtent l="0" t="0" r="0" b="0"/>
            <wp:docPr id="16106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71564" name=""/>
                    <pic:cNvPicPr/>
                  </pic:nvPicPr>
                  <pic:blipFill>
                    <a:blip r:embed="rId10"/>
                    <a:stretch>
                      <a:fillRect/>
                    </a:stretch>
                  </pic:blipFill>
                  <pic:spPr>
                    <a:xfrm>
                      <a:off x="0" y="0"/>
                      <a:ext cx="5731510" cy="2138680"/>
                    </a:xfrm>
                    <a:prstGeom prst="rect">
                      <a:avLst/>
                    </a:prstGeom>
                  </pic:spPr>
                </pic:pic>
              </a:graphicData>
            </a:graphic>
          </wp:inline>
        </w:drawing>
      </w:r>
    </w:p>
    <w:p w14:paraId="62F1A3B0" w14:textId="353426BA" w:rsidR="007D3C20" w:rsidRDefault="00EF2B70" w:rsidP="00C0588E">
      <w:pPr>
        <w:jc w:val="center"/>
        <w:rPr>
          <w:rFonts w:ascii="Helvetica" w:eastAsia="Times New Roman" w:hAnsi="Helvetica" w:cs="Times New Roman"/>
          <w:kern w:val="0"/>
          <w:sz w:val="20"/>
          <w:szCs w:val="20"/>
          <w:lang w:eastAsia="en-GB"/>
          <w14:ligatures w14:val="none"/>
        </w:rPr>
      </w:pPr>
      <w:r w:rsidRPr="00EF2B70">
        <w:rPr>
          <w:rFonts w:ascii="Helvetica" w:eastAsia="Times New Roman" w:hAnsi="Helvetica" w:cs="Times New Roman"/>
          <w:kern w:val="0"/>
          <w:sz w:val="20"/>
          <w:szCs w:val="20"/>
          <w:lang w:eastAsia="en-GB"/>
          <w14:ligatures w14:val="none"/>
        </w:rPr>
        <w:drawing>
          <wp:inline distT="0" distB="0" distL="0" distR="0" wp14:anchorId="2CBE77E7" wp14:editId="5CDE5394">
            <wp:extent cx="5731510" cy="2138680"/>
            <wp:effectExtent l="0" t="0" r="0" b="0"/>
            <wp:docPr id="55199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6741" name=""/>
                    <pic:cNvPicPr/>
                  </pic:nvPicPr>
                  <pic:blipFill>
                    <a:blip r:embed="rId11"/>
                    <a:stretch>
                      <a:fillRect/>
                    </a:stretch>
                  </pic:blipFill>
                  <pic:spPr>
                    <a:xfrm>
                      <a:off x="0" y="0"/>
                      <a:ext cx="5731510" cy="2138680"/>
                    </a:xfrm>
                    <a:prstGeom prst="rect">
                      <a:avLst/>
                    </a:prstGeom>
                  </pic:spPr>
                </pic:pic>
              </a:graphicData>
            </a:graphic>
          </wp:inline>
        </w:drawing>
      </w:r>
    </w:p>
    <w:p w14:paraId="419EEE21" w14:textId="2757638F" w:rsidR="00F046BE" w:rsidRDefault="00F046BE" w:rsidP="00C0588E">
      <w:pPr>
        <w:jc w:val="center"/>
        <w:rPr>
          <w:rFonts w:ascii="Helvetica" w:eastAsia="Times New Roman" w:hAnsi="Helvetica" w:cs="Times New Roman"/>
          <w:kern w:val="0"/>
          <w:sz w:val="20"/>
          <w:szCs w:val="20"/>
          <w:lang w:eastAsia="en-GB"/>
          <w14:ligatures w14:val="none"/>
        </w:rPr>
      </w:pPr>
      <w:r w:rsidRPr="00F046BE">
        <w:rPr>
          <w:rFonts w:ascii="Helvetica" w:eastAsia="Times New Roman" w:hAnsi="Helvetica" w:cs="Times New Roman"/>
          <w:kern w:val="0"/>
          <w:sz w:val="20"/>
          <w:szCs w:val="20"/>
          <w:lang w:eastAsia="en-GB"/>
          <w14:ligatures w14:val="none"/>
        </w:rPr>
        <w:drawing>
          <wp:inline distT="0" distB="0" distL="0" distR="0" wp14:anchorId="5E9321F0" wp14:editId="234ACF09">
            <wp:extent cx="5731510" cy="2096770"/>
            <wp:effectExtent l="0" t="0" r="0" b="0"/>
            <wp:docPr id="192197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867" name=""/>
                    <pic:cNvPicPr/>
                  </pic:nvPicPr>
                  <pic:blipFill>
                    <a:blip r:embed="rId12"/>
                    <a:stretch>
                      <a:fillRect/>
                    </a:stretch>
                  </pic:blipFill>
                  <pic:spPr>
                    <a:xfrm>
                      <a:off x="0" y="0"/>
                      <a:ext cx="5731510" cy="2096770"/>
                    </a:xfrm>
                    <a:prstGeom prst="rect">
                      <a:avLst/>
                    </a:prstGeom>
                  </pic:spPr>
                </pic:pic>
              </a:graphicData>
            </a:graphic>
          </wp:inline>
        </w:drawing>
      </w:r>
    </w:p>
    <w:p w14:paraId="523D91B0" w14:textId="63B1D293" w:rsidR="00195395" w:rsidRDefault="009F399C" w:rsidP="00C0588E">
      <w:pPr>
        <w:jc w:val="center"/>
        <w:rPr>
          <w:rFonts w:ascii="Helvetica" w:eastAsia="Times New Roman" w:hAnsi="Helvetica" w:cs="Times New Roman"/>
          <w:kern w:val="0"/>
          <w:sz w:val="20"/>
          <w:szCs w:val="20"/>
          <w:lang w:eastAsia="en-GB"/>
          <w14:ligatures w14:val="none"/>
        </w:rPr>
      </w:pPr>
      <w:r w:rsidRPr="009F399C">
        <w:rPr>
          <w:rFonts w:ascii="Helvetica" w:eastAsia="Times New Roman" w:hAnsi="Helvetica" w:cs="Times New Roman"/>
          <w:kern w:val="0"/>
          <w:sz w:val="20"/>
          <w:szCs w:val="20"/>
          <w:lang w:eastAsia="en-GB"/>
          <w14:ligatures w14:val="none"/>
        </w:rPr>
        <w:drawing>
          <wp:inline distT="0" distB="0" distL="0" distR="0" wp14:anchorId="37E84804" wp14:editId="5A95E17A">
            <wp:extent cx="5731510" cy="2138680"/>
            <wp:effectExtent l="0" t="0" r="0" b="0"/>
            <wp:docPr id="153110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1680" name=""/>
                    <pic:cNvPicPr/>
                  </pic:nvPicPr>
                  <pic:blipFill>
                    <a:blip r:embed="rId13"/>
                    <a:stretch>
                      <a:fillRect/>
                    </a:stretch>
                  </pic:blipFill>
                  <pic:spPr>
                    <a:xfrm>
                      <a:off x="0" y="0"/>
                      <a:ext cx="5731510" cy="2138680"/>
                    </a:xfrm>
                    <a:prstGeom prst="rect">
                      <a:avLst/>
                    </a:prstGeom>
                  </pic:spPr>
                </pic:pic>
              </a:graphicData>
            </a:graphic>
          </wp:inline>
        </w:drawing>
      </w:r>
    </w:p>
    <w:p w14:paraId="3E338123" w14:textId="77777777" w:rsidR="00793DA9" w:rsidRDefault="00793DA9" w:rsidP="00793DA9">
      <w:pPr>
        <w:rPr>
          <w:rFonts w:ascii="Helvetica" w:eastAsia="Times New Roman" w:hAnsi="Helvetica" w:cs="Times New Roman"/>
          <w:kern w:val="0"/>
          <w:sz w:val="20"/>
          <w:szCs w:val="20"/>
          <w:lang w:eastAsia="en-GB"/>
          <w14:ligatures w14:val="none"/>
        </w:rPr>
      </w:pPr>
    </w:p>
    <w:p w14:paraId="657BBC17" w14:textId="77777777" w:rsidR="00DA1B85" w:rsidRDefault="00DA1B85" w:rsidP="00F4410B">
      <w:pPr>
        <w:jc w:val="both"/>
        <w:rPr>
          <w:rFonts w:ascii="Helvetica" w:eastAsia="Times New Roman" w:hAnsi="Helvetica" w:cs="Times New Roman"/>
          <w:kern w:val="0"/>
          <w:sz w:val="20"/>
          <w:szCs w:val="20"/>
          <w:lang w:eastAsia="en-GB"/>
          <w14:ligatures w14:val="none"/>
        </w:rPr>
      </w:pPr>
    </w:p>
    <w:p w14:paraId="10B3DDCC" w14:textId="77777777" w:rsidR="00DA1B85" w:rsidRPr="00DA1B85" w:rsidRDefault="00DA1B85" w:rsidP="00BD64C3">
      <w:pPr>
        <w:pStyle w:val="NormalWeb"/>
        <w:spacing w:before="0" w:beforeAutospacing="0" w:after="0" w:afterAutospacing="0"/>
        <w:jc w:val="both"/>
        <w:rPr>
          <w:rFonts w:ascii="Helvetica" w:hAnsi="Helvetica"/>
          <w:sz w:val="20"/>
          <w:szCs w:val="20"/>
        </w:rPr>
      </w:pPr>
      <w:r w:rsidRPr="00DA1B85">
        <w:rPr>
          <w:rFonts w:ascii="Helvetica" w:hAnsi="Helvetica"/>
          <w:sz w:val="20"/>
          <w:szCs w:val="20"/>
        </w:rPr>
        <w:lastRenderedPageBreak/>
        <w:t>As observed, </w:t>
      </w:r>
      <w:r w:rsidRPr="00DA1B85">
        <w:rPr>
          <w:rFonts w:ascii="Helvetica" w:hAnsi="Helvetica"/>
          <w:b/>
          <w:bCs/>
          <w:sz w:val="20"/>
          <w:szCs w:val="20"/>
        </w:rPr>
        <w:t>stocks and interest rates generally exhibit higher correlations during risk-off periods</w:t>
      </w:r>
      <w:r w:rsidRPr="00DA1B85">
        <w:rPr>
          <w:rFonts w:ascii="Helvetica" w:hAnsi="Helvetica"/>
          <w:sz w:val="20"/>
          <w:szCs w:val="20"/>
        </w:rPr>
        <w:t>, reflecting strong co-movement across asset classes in times of market stress. During macroeconomic shocks, correlations among stocks tend to increase as </w:t>
      </w:r>
      <w:r w:rsidRPr="00DA1B85">
        <w:rPr>
          <w:rFonts w:ascii="Helvetica" w:hAnsi="Helvetica"/>
          <w:b/>
          <w:bCs/>
          <w:sz w:val="20"/>
          <w:szCs w:val="20"/>
        </w:rPr>
        <w:t>broad market factors dominate company-specific fundamentals</w:t>
      </w:r>
      <w:r w:rsidRPr="00DA1B85">
        <w:rPr>
          <w:rFonts w:ascii="Helvetica" w:hAnsi="Helvetica"/>
          <w:sz w:val="20"/>
          <w:szCs w:val="20"/>
        </w:rPr>
        <w:t>. In such periods, investors often reduce equity exposure across the board, prioritizing safety over stock-specific considerations, as equities are typically riskier than other assets such as bonds.</w:t>
      </w:r>
    </w:p>
    <w:p w14:paraId="7B65FF45" w14:textId="77777777" w:rsidR="00DA1B85" w:rsidRDefault="00DA1B85" w:rsidP="00BD64C3">
      <w:pPr>
        <w:pStyle w:val="NormalWeb"/>
        <w:spacing w:before="0" w:beforeAutospacing="0" w:after="0" w:afterAutospacing="0"/>
        <w:jc w:val="both"/>
        <w:rPr>
          <w:rFonts w:ascii="Helvetica" w:hAnsi="Helvetica"/>
          <w:sz w:val="20"/>
          <w:szCs w:val="20"/>
        </w:rPr>
      </w:pPr>
    </w:p>
    <w:p w14:paraId="5F50A284" w14:textId="1B1E7B1E" w:rsidR="00DA1B85" w:rsidRPr="00DA1B85" w:rsidRDefault="00DA1B85" w:rsidP="00BD64C3">
      <w:pPr>
        <w:pStyle w:val="NormalWeb"/>
        <w:spacing w:before="0" w:beforeAutospacing="0" w:after="0" w:afterAutospacing="0"/>
        <w:jc w:val="both"/>
        <w:rPr>
          <w:rFonts w:ascii="Helvetica" w:hAnsi="Helvetica"/>
          <w:sz w:val="20"/>
          <w:szCs w:val="20"/>
        </w:rPr>
      </w:pPr>
      <w:r w:rsidRPr="00DA1B85">
        <w:rPr>
          <w:rFonts w:ascii="Helvetica" w:hAnsi="Helvetica"/>
          <w:sz w:val="20"/>
          <w:szCs w:val="20"/>
        </w:rPr>
        <w:t>The second chart highlights that </w:t>
      </w:r>
      <w:r w:rsidRPr="00DA1B85">
        <w:rPr>
          <w:rFonts w:ascii="Helvetica" w:hAnsi="Helvetica"/>
          <w:b/>
          <w:bCs/>
          <w:sz w:val="20"/>
          <w:szCs w:val="20"/>
        </w:rPr>
        <w:t>interest rates also show strong correlations, often in the range of 0.7 to 0.8, during risk-off regimes</w:t>
      </w:r>
      <w:r w:rsidRPr="00DA1B85">
        <w:rPr>
          <w:rFonts w:ascii="Helvetica" w:hAnsi="Helvetica"/>
          <w:sz w:val="20"/>
          <w:szCs w:val="20"/>
        </w:rPr>
        <w:t>. The rates in this analysis represent U.S. Treasury yields of varying maturities, which serve as benchmark interest rates in financial markets. During periods of uncertainty, Treasury yields tend to move together due to shifts in monetary policy expectations, flight-to-quality flows, or changes in risk sentiment.</w:t>
      </w:r>
    </w:p>
    <w:p w14:paraId="584EA7BC" w14:textId="77777777" w:rsidR="00DA1B85" w:rsidRDefault="00DA1B85" w:rsidP="00BD64C3">
      <w:pPr>
        <w:pStyle w:val="NormalWeb"/>
        <w:spacing w:before="0" w:beforeAutospacing="0" w:after="0" w:afterAutospacing="0"/>
        <w:jc w:val="both"/>
        <w:rPr>
          <w:rFonts w:ascii="Helvetica" w:hAnsi="Helvetica"/>
          <w:sz w:val="20"/>
          <w:szCs w:val="20"/>
        </w:rPr>
      </w:pPr>
    </w:p>
    <w:p w14:paraId="33777FC4" w14:textId="12FEE973" w:rsidR="00DA1B85" w:rsidRPr="00DA1B85" w:rsidRDefault="00DA1B85" w:rsidP="00BD64C3">
      <w:pPr>
        <w:pStyle w:val="NormalWeb"/>
        <w:spacing w:before="0" w:beforeAutospacing="0" w:after="0" w:afterAutospacing="0"/>
        <w:jc w:val="both"/>
        <w:rPr>
          <w:rFonts w:ascii="Helvetica" w:hAnsi="Helvetica"/>
          <w:sz w:val="20"/>
          <w:szCs w:val="20"/>
        </w:rPr>
      </w:pPr>
      <w:r w:rsidRPr="00DA1B85">
        <w:rPr>
          <w:rFonts w:ascii="Helvetica" w:hAnsi="Helvetica"/>
          <w:sz w:val="20"/>
          <w:szCs w:val="20"/>
        </w:rPr>
        <w:t>In contrast, </w:t>
      </w:r>
      <w:r w:rsidRPr="00DA1B85">
        <w:rPr>
          <w:rFonts w:ascii="Helvetica" w:hAnsi="Helvetica"/>
          <w:b/>
          <w:bCs/>
          <w:sz w:val="20"/>
          <w:szCs w:val="20"/>
        </w:rPr>
        <w:t>FX pairs generally exhibit lower correlations with one another</w:t>
      </w:r>
      <w:r w:rsidRPr="00DA1B85">
        <w:rPr>
          <w:rFonts w:ascii="Helvetica" w:hAnsi="Helvetica"/>
          <w:sz w:val="20"/>
          <w:szCs w:val="20"/>
        </w:rPr>
        <w:t>, indicating that currency movements are influenced by a broader set of idiosyncratic and cross-border factors, rather than moving strictly in unison during stress periods.</w:t>
      </w:r>
    </w:p>
    <w:p w14:paraId="1645CFA2" w14:textId="77777777" w:rsidR="00DA1B85" w:rsidRDefault="00DA1B85" w:rsidP="00BD64C3">
      <w:pPr>
        <w:pStyle w:val="NormalWeb"/>
        <w:spacing w:before="0" w:beforeAutospacing="0" w:after="0" w:afterAutospacing="0"/>
        <w:jc w:val="both"/>
        <w:rPr>
          <w:rFonts w:ascii="Helvetica" w:hAnsi="Helvetica"/>
          <w:sz w:val="20"/>
          <w:szCs w:val="20"/>
        </w:rPr>
      </w:pPr>
    </w:p>
    <w:p w14:paraId="2A62437F" w14:textId="4BDCB52B" w:rsidR="00DA1B85" w:rsidRDefault="00DA1B85" w:rsidP="00BD64C3">
      <w:pPr>
        <w:jc w:val="both"/>
        <w:rPr>
          <w:rFonts w:ascii="Helvetica" w:hAnsi="Helvetica"/>
          <w:sz w:val="20"/>
          <w:szCs w:val="20"/>
        </w:rPr>
      </w:pPr>
      <w:r w:rsidRPr="00DA1B85">
        <w:rPr>
          <w:rFonts w:ascii="Helvetica" w:hAnsi="Helvetica"/>
          <w:sz w:val="20"/>
          <w:szCs w:val="20"/>
        </w:rPr>
        <w:t>A similar pattern is observed for</w:t>
      </w:r>
      <w:r w:rsidRPr="00DA1B85">
        <w:rPr>
          <w:rFonts w:ascii="Helvetica" w:eastAsia="Times New Roman" w:hAnsi="Helvetica"/>
          <w:sz w:val="20"/>
          <w:szCs w:val="20"/>
        </w:rPr>
        <w:t> </w:t>
      </w:r>
      <w:r w:rsidRPr="00DA1B85">
        <w:rPr>
          <w:rFonts w:ascii="Helvetica" w:eastAsia="Times New Roman" w:hAnsi="Helvetica"/>
          <w:b/>
          <w:bCs/>
          <w:sz w:val="20"/>
          <w:szCs w:val="20"/>
        </w:rPr>
        <w:t>commodities</w:t>
      </w:r>
      <w:r w:rsidRPr="00DA1B85">
        <w:rPr>
          <w:rFonts w:ascii="Helvetica" w:hAnsi="Helvetica"/>
          <w:sz w:val="20"/>
          <w:szCs w:val="20"/>
        </w:rPr>
        <w:t>, where correlations can vary significantly across different products. While some commodities may respond to global macroeconomic shocks in a coordinated manner, others remain more asset-specific, reflecting supply-demand dynamics, geopolitical events, or seasonal factors.</w:t>
      </w:r>
      <w:r w:rsidR="008466C2">
        <w:rPr>
          <w:rFonts w:ascii="Helvetica" w:hAnsi="Helvetica"/>
          <w:sz w:val="20"/>
          <w:szCs w:val="20"/>
        </w:rPr>
        <w:t xml:space="preserve"> Our </w:t>
      </w:r>
      <w:r w:rsidR="00574144">
        <w:rPr>
          <w:rFonts w:ascii="Helvetica" w:hAnsi="Helvetica"/>
          <w:sz w:val="20"/>
          <w:szCs w:val="20"/>
        </w:rPr>
        <w:t xml:space="preserve">commodity bucket consists of </w:t>
      </w:r>
      <w:r w:rsidR="00164A4C" w:rsidRPr="005946B6">
        <w:rPr>
          <w:rFonts w:ascii="Helvetica" w:eastAsia="Times New Roman" w:hAnsi="Helvetica" w:cs="Times New Roman"/>
          <w:kern w:val="0"/>
          <w:sz w:val="20"/>
          <w:szCs w:val="20"/>
          <w:lang w:eastAsia="en-GB"/>
          <w14:ligatures w14:val="none"/>
        </w:rPr>
        <w:t>Gold</w:t>
      </w:r>
      <w:r w:rsidR="00164A4C">
        <w:rPr>
          <w:rFonts w:ascii="Helvetica" w:eastAsia="Times New Roman" w:hAnsi="Helvetica" w:cs="Times New Roman"/>
          <w:kern w:val="0"/>
          <w:sz w:val="20"/>
          <w:szCs w:val="20"/>
          <w:lang w:eastAsia="en-GB"/>
          <w14:ligatures w14:val="none"/>
        </w:rPr>
        <w:t xml:space="preserve">, </w:t>
      </w:r>
      <w:r w:rsidR="00B976F5">
        <w:rPr>
          <w:rFonts w:ascii="Helvetica" w:eastAsia="Times New Roman" w:hAnsi="Helvetica" w:cs="Times New Roman"/>
          <w:kern w:val="0"/>
          <w:sz w:val="20"/>
          <w:szCs w:val="20"/>
          <w:lang w:eastAsia="en-GB"/>
          <w14:ligatures w14:val="none"/>
        </w:rPr>
        <w:t xml:space="preserve">Silver, Crude-oil, </w:t>
      </w:r>
      <w:r w:rsidR="00B976F5" w:rsidRPr="00AD088E">
        <w:rPr>
          <w:rFonts w:ascii="Helvetica" w:hAnsi="Helvetica"/>
          <w:sz w:val="20"/>
          <w:szCs w:val="20"/>
        </w:rPr>
        <w:t>Natural Gas, Copper, Corn and Soybeans,</w:t>
      </w:r>
      <w:r w:rsidR="00E057E4" w:rsidRPr="00AD088E">
        <w:rPr>
          <w:rFonts w:ascii="Helvetica" w:hAnsi="Helvetica"/>
          <w:sz w:val="20"/>
          <w:szCs w:val="20"/>
        </w:rPr>
        <w:t xml:space="preserve"> </w:t>
      </w:r>
      <w:r w:rsidR="00F54C46" w:rsidRPr="00AD088E">
        <w:rPr>
          <w:rFonts w:ascii="Helvetica" w:hAnsi="Helvetica"/>
          <w:sz w:val="20"/>
          <w:szCs w:val="20"/>
        </w:rPr>
        <w:t xml:space="preserve">which could explain why correlation </w:t>
      </w:r>
      <w:r w:rsidR="0052527F" w:rsidRPr="00AD088E">
        <w:rPr>
          <w:rFonts w:ascii="Helvetica" w:hAnsi="Helvetica"/>
          <w:sz w:val="20"/>
          <w:szCs w:val="20"/>
        </w:rPr>
        <w:t xml:space="preserve">varies </w:t>
      </w:r>
      <w:r w:rsidR="006739FA" w:rsidRPr="00AD088E">
        <w:rPr>
          <w:rFonts w:ascii="Helvetica" w:hAnsi="Helvetica"/>
          <w:sz w:val="20"/>
          <w:szCs w:val="20"/>
        </w:rPr>
        <w:t>to a</w:t>
      </w:r>
      <w:r w:rsidR="00F02990">
        <w:rPr>
          <w:rFonts w:ascii="Helvetica" w:hAnsi="Helvetica"/>
          <w:sz w:val="20"/>
          <w:szCs w:val="20"/>
        </w:rPr>
        <w:t xml:space="preserve"> </w:t>
      </w:r>
      <w:r w:rsidR="00AD088E" w:rsidRPr="00AD088E">
        <w:rPr>
          <w:rFonts w:ascii="Helvetica" w:hAnsi="Helvetica"/>
          <w:sz w:val="20"/>
          <w:szCs w:val="20"/>
        </w:rPr>
        <w:t>large extent: precious metals like gold and silver tend to move together as safe-haven assets during market stress, energy commodities such as crude oil and natural gas are influenced by global demand, supply constraints, and geopolitical tensions, while agricultural products like corn and soybeans respond to crop yields, weather conditions, and trade policies. As a result, the overall correlation structure within commodities is a complex mix of </w:t>
      </w:r>
      <w:r w:rsidR="00AD088E" w:rsidRPr="00AD088E">
        <w:rPr>
          <w:rFonts w:ascii="Helvetica" w:hAnsi="Helvetica"/>
          <w:b/>
          <w:bCs/>
          <w:sz w:val="20"/>
          <w:szCs w:val="20"/>
        </w:rPr>
        <w:t>macro-driven co-movement and asset-specific dynamics</w:t>
      </w:r>
      <w:r w:rsidR="00713547">
        <w:rPr>
          <w:rFonts w:ascii="Helvetica" w:hAnsi="Helvetica"/>
          <w:sz w:val="20"/>
          <w:szCs w:val="20"/>
        </w:rPr>
        <w:t>.</w:t>
      </w:r>
    </w:p>
    <w:p w14:paraId="5BCBF56D" w14:textId="77777777" w:rsidR="00713547" w:rsidRDefault="00713547" w:rsidP="00BD64C3">
      <w:pPr>
        <w:jc w:val="both"/>
        <w:rPr>
          <w:rFonts w:ascii="Helvetica" w:hAnsi="Helvetica"/>
          <w:sz w:val="20"/>
          <w:szCs w:val="20"/>
        </w:rPr>
      </w:pPr>
    </w:p>
    <w:p w14:paraId="0D99BBE6" w14:textId="77777777" w:rsidR="00D63BE2" w:rsidRDefault="00D63BE2" w:rsidP="00BD64C3">
      <w:pPr>
        <w:jc w:val="both"/>
        <w:rPr>
          <w:rFonts w:ascii="Helvetica" w:hAnsi="Helvetica"/>
          <w:sz w:val="20"/>
          <w:szCs w:val="20"/>
        </w:rPr>
      </w:pPr>
    </w:p>
    <w:p w14:paraId="3C2EC4EE" w14:textId="39F4BE60" w:rsidR="00713547" w:rsidRPr="00D63BE2" w:rsidRDefault="0037442E" w:rsidP="00BD64C3">
      <w:pPr>
        <w:jc w:val="both"/>
        <w:rPr>
          <w:rFonts w:ascii="Helvetica" w:hAnsi="Helvetica"/>
          <w:b/>
          <w:bCs/>
          <w:sz w:val="20"/>
          <w:szCs w:val="20"/>
        </w:rPr>
      </w:pPr>
      <w:r w:rsidRPr="00D63BE2">
        <w:rPr>
          <w:rFonts w:ascii="Helvetica" w:hAnsi="Helvetica"/>
          <w:b/>
          <w:bCs/>
          <w:sz w:val="20"/>
          <w:szCs w:val="20"/>
        </w:rPr>
        <w:t>Rolling Correlation Analysis</w:t>
      </w:r>
    </w:p>
    <w:p w14:paraId="3CE653FE" w14:textId="77777777" w:rsidR="005C0401" w:rsidRDefault="005C0401" w:rsidP="00BD64C3">
      <w:pPr>
        <w:jc w:val="both"/>
        <w:rPr>
          <w:rFonts w:ascii="Helvetica" w:hAnsi="Helvetica"/>
          <w:sz w:val="20"/>
          <w:szCs w:val="20"/>
        </w:rPr>
      </w:pPr>
    </w:p>
    <w:p w14:paraId="37F1DF21" w14:textId="5CB5C002" w:rsidR="002B5982" w:rsidRPr="002B5982" w:rsidRDefault="002B5982" w:rsidP="002B5982">
      <w:pPr>
        <w:spacing w:line="270" w:lineRule="atLeast"/>
        <w:rPr>
          <w:rFonts w:ascii="Helvetica" w:hAnsi="Helvetica"/>
          <w:sz w:val="20"/>
          <w:szCs w:val="20"/>
        </w:rPr>
      </w:pPr>
      <w:r w:rsidRPr="002B5982">
        <w:rPr>
          <w:rFonts w:ascii="Helvetica" w:hAnsi="Helvetica"/>
          <w:sz w:val="20"/>
          <w:szCs w:val="20"/>
        </w:rPr>
        <w:t xml:space="preserve">We will now study how a given asset of our choice correlates with their peers on a rolling basis. A few tweaks to </w:t>
      </w:r>
      <w:r w:rsidR="008A372A">
        <w:rPr>
          <w:rFonts w:ascii="Helvetica" w:hAnsi="Helvetica"/>
          <w:sz w:val="20"/>
          <w:szCs w:val="20"/>
        </w:rPr>
        <w:t xml:space="preserve">our existing </w:t>
      </w:r>
      <w:r w:rsidRPr="002B5982">
        <w:rPr>
          <w:rFonts w:ascii="Helvetica" w:hAnsi="Helvetica"/>
          <w:sz w:val="20"/>
          <w:szCs w:val="20"/>
        </w:rPr>
        <w:t>code would do the job. On top of that, we can also group by the asset class or sectors to see whether correlation exists on a sector and class level.</w:t>
      </w:r>
    </w:p>
    <w:p w14:paraId="5650215A" w14:textId="77777777" w:rsidR="005C0401" w:rsidRDefault="005C0401" w:rsidP="00BD64C3">
      <w:pPr>
        <w:jc w:val="both"/>
        <w:rPr>
          <w:rFonts w:ascii="Helvetica" w:hAnsi="Helvetica"/>
          <w:sz w:val="20"/>
          <w:szCs w:val="20"/>
        </w:rPr>
      </w:pPr>
    </w:p>
    <w:p w14:paraId="61327F0C" w14:textId="77777777" w:rsidR="00D63BE2" w:rsidRDefault="00D63BE2" w:rsidP="00BD64C3">
      <w:pPr>
        <w:jc w:val="both"/>
        <w:rPr>
          <w:rFonts w:ascii="Helvetica" w:hAnsi="Helvetica"/>
          <w:sz w:val="20"/>
          <w:szCs w:val="20"/>
        </w:rPr>
      </w:pPr>
    </w:p>
    <w:p w14:paraId="67CC0B4D" w14:textId="3AD91AB0" w:rsidR="005C0401" w:rsidRPr="00D63BE2" w:rsidRDefault="00D63BE2" w:rsidP="00BD64C3">
      <w:pPr>
        <w:jc w:val="both"/>
        <w:rPr>
          <w:rFonts w:ascii="Helvetica" w:hAnsi="Helvetica"/>
          <w:sz w:val="20"/>
          <w:szCs w:val="20"/>
          <w:u w:val="single"/>
        </w:rPr>
      </w:pPr>
      <w:r w:rsidRPr="00D63BE2">
        <w:rPr>
          <w:rFonts w:ascii="Helvetica" w:hAnsi="Helvetica"/>
          <w:sz w:val="20"/>
          <w:szCs w:val="20"/>
          <w:u w:val="single"/>
        </w:rPr>
        <w:t xml:space="preserve">1. </w:t>
      </w:r>
      <w:r w:rsidR="005802C8" w:rsidRPr="00D63BE2">
        <w:rPr>
          <w:rFonts w:ascii="Helvetica" w:hAnsi="Helvetica"/>
          <w:sz w:val="20"/>
          <w:szCs w:val="20"/>
          <w:u w:val="single"/>
        </w:rPr>
        <w:t>Cross-sectional</w:t>
      </w:r>
      <w:r w:rsidR="00C74FF1" w:rsidRPr="00D63BE2">
        <w:rPr>
          <w:rFonts w:ascii="Helvetica" w:hAnsi="Helvetica"/>
          <w:sz w:val="20"/>
          <w:szCs w:val="20"/>
          <w:u w:val="single"/>
        </w:rPr>
        <w:t xml:space="preserve"> or</w:t>
      </w:r>
      <w:r w:rsidR="005C0401" w:rsidRPr="00D63BE2">
        <w:rPr>
          <w:rFonts w:ascii="Helvetica" w:hAnsi="Helvetica"/>
          <w:sz w:val="20"/>
          <w:szCs w:val="20"/>
          <w:u w:val="single"/>
        </w:rPr>
        <w:t xml:space="preserve"> </w:t>
      </w:r>
      <w:r w:rsidR="00C74FF1" w:rsidRPr="00D63BE2">
        <w:rPr>
          <w:rFonts w:ascii="Helvetica" w:hAnsi="Helvetica"/>
          <w:sz w:val="20"/>
          <w:szCs w:val="20"/>
          <w:u w:val="single"/>
        </w:rPr>
        <w:t>i</w:t>
      </w:r>
      <w:r w:rsidR="005C0401" w:rsidRPr="00D63BE2">
        <w:rPr>
          <w:rFonts w:ascii="Helvetica" w:hAnsi="Helvetica"/>
          <w:sz w:val="20"/>
          <w:szCs w:val="20"/>
          <w:u w:val="single"/>
        </w:rPr>
        <w:t>nter-asset</w:t>
      </w:r>
      <w:r w:rsidR="00440A42" w:rsidRPr="00D63BE2">
        <w:rPr>
          <w:rFonts w:ascii="Helvetica" w:hAnsi="Helvetica"/>
          <w:sz w:val="20"/>
          <w:szCs w:val="20"/>
          <w:u w:val="single"/>
        </w:rPr>
        <w:t xml:space="preserve"> </w:t>
      </w:r>
      <w:r w:rsidR="00C74FF1" w:rsidRPr="00D63BE2">
        <w:rPr>
          <w:rFonts w:ascii="Helvetica" w:hAnsi="Helvetica"/>
          <w:sz w:val="20"/>
          <w:szCs w:val="20"/>
          <w:u w:val="single"/>
        </w:rPr>
        <w:t>analysis</w:t>
      </w:r>
    </w:p>
    <w:p w14:paraId="688BF88B" w14:textId="77777777" w:rsidR="00C74FF1" w:rsidRDefault="00C74FF1" w:rsidP="00BD64C3">
      <w:pPr>
        <w:jc w:val="both"/>
        <w:rPr>
          <w:rFonts w:ascii="Helvetica" w:hAnsi="Helvetica"/>
          <w:sz w:val="20"/>
          <w:szCs w:val="20"/>
        </w:rPr>
      </w:pPr>
    </w:p>
    <w:p w14:paraId="62AA068B" w14:textId="77777777" w:rsidR="00C74FF1" w:rsidRDefault="00C74FF1" w:rsidP="00BD64C3">
      <w:pPr>
        <w:jc w:val="both"/>
        <w:rPr>
          <w:rFonts w:ascii="Helvetica" w:hAnsi="Helvetica"/>
          <w:sz w:val="20"/>
          <w:szCs w:val="20"/>
        </w:rPr>
      </w:pPr>
    </w:p>
    <w:p w14:paraId="391E6C34" w14:textId="77777777" w:rsidR="00D63BE2" w:rsidRDefault="00D63BE2" w:rsidP="00BD64C3">
      <w:pPr>
        <w:jc w:val="both"/>
        <w:rPr>
          <w:rFonts w:ascii="Helvetica" w:hAnsi="Helvetica"/>
          <w:sz w:val="20"/>
          <w:szCs w:val="20"/>
        </w:rPr>
      </w:pPr>
    </w:p>
    <w:p w14:paraId="6E83DBFF" w14:textId="37FF1B6D" w:rsidR="00C74FF1" w:rsidRPr="00D63BE2" w:rsidRDefault="00D63BE2" w:rsidP="00BD64C3">
      <w:pPr>
        <w:jc w:val="both"/>
        <w:rPr>
          <w:rFonts w:ascii="Helvetica" w:hAnsi="Helvetica"/>
          <w:sz w:val="20"/>
          <w:szCs w:val="20"/>
          <w:u w:val="single"/>
        </w:rPr>
      </w:pPr>
      <w:r w:rsidRPr="00D63BE2">
        <w:rPr>
          <w:rFonts w:ascii="Helvetica" w:hAnsi="Helvetica"/>
          <w:sz w:val="20"/>
          <w:szCs w:val="20"/>
          <w:u w:val="single"/>
        </w:rPr>
        <w:t xml:space="preserve">2. </w:t>
      </w:r>
      <w:r w:rsidR="00C74FF1" w:rsidRPr="00D63BE2">
        <w:rPr>
          <w:rFonts w:ascii="Helvetica" w:hAnsi="Helvetica"/>
          <w:sz w:val="20"/>
          <w:szCs w:val="20"/>
          <w:u w:val="single"/>
        </w:rPr>
        <w:t xml:space="preserve">Sectoral or Industry specific </w:t>
      </w:r>
      <w:r w:rsidR="000E43DF" w:rsidRPr="00D63BE2">
        <w:rPr>
          <w:rFonts w:ascii="Helvetica" w:hAnsi="Helvetica"/>
          <w:sz w:val="20"/>
          <w:szCs w:val="20"/>
          <w:u w:val="single"/>
        </w:rPr>
        <w:t>analysis</w:t>
      </w:r>
    </w:p>
    <w:p w14:paraId="20B65FF6" w14:textId="77777777" w:rsidR="000E43DF" w:rsidRDefault="000E43DF" w:rsidP="00BD64C3">
      <w:pPr>
        <w:jc w:val="both"/>
        <w:rPr>
          <w:rFonts w:ascii="Helvetica" w:hAnsi="Helvetica"/>
          <w:sz w:val="20"/>
          <w:szCs w:val="20"/>
        </w:rPr>
      </w:pPr>
    </w:p>
    <w:p w14:paraId="0CF04AFD" w14:textId="77777777" w:rsidR="000E43DF" w:rsidRDefault="000E43DF" w:rsidP="00BD64C3">
      <w:pPr>
        <w:jc w:val="both"/>
        <w:rPr>
          <w:rFonts w:ascii="Helvetica" w:hAnsi="Helvetica"/>
          <w:sz w:val="20"/>
          <w:szCs w:val="20"/>
        </w:rPr>
      </w:pPr>
    </w:p>
    <w:p w14:paraId="02DE7DB4" w14:textId="77777777" w:rsidR="00440A42" w:rsidRDefault="00440A42" w:rsidP="00BD64C3">
      <w:pPr>
        <w:jc w:val="both"/>
        <w:rPr>
          <w:rFonts w:ascii="Helvetica" w:hAnsi="Helvetica"/>
          <w:sz w:val="20"/>
          <w:szCs w:val="20"/>
        </w:rPr>
      </w:pPr>
    </w:p>
    <w:p w14:paraId="23662853" w14:textId="77777777" w:rsidR="00440A42" w:rsidRDefault="00440A42" w:rsidP="00BD64C3">
      <w:pPr>
        <w:jc w:val="both"/>
        <w:rPr>
          <w:rFonts w:ascii="Helvetica" w:hAnsi="Helvetica"/>
          <w:sz w:val="20"/>
          <w:szCs w:val="20"/>
        </w:rPr>
      </w:pPr>
    </w:p>
    <w:p w14:paraId="3DF0E8C1" w14:textId="77777777" w:rsidR="00440A42" w:rsidRDefault="00440A42" w:rsidP="00BD64C3">
      <w:pPr>
        <w:jc w:val="both"/>
        <w:rPr>
          <w:rFonts w:ascii="Helvetica" w:hAnsi="Helvetica"/>
          <w:sz w:val="20"/>
          <w:szCs w:val="20"/>
        </w:rPr>
      </w:pPr>
    </w:p>
    <w:p w14:paraId="4212BAED" w14:textId="77777777" w:rsidR="00440A42" w:rsidRDefault="00440A42" w:rsidP="00BD64C3">
      <w:pPr>
        <w:jc w:val="both"/>
        <w:rPr>
          <w:rFonts w:ascii="Helvetica" w:hAnsi="Helvetica"/>
          <w:sz w:val="20"/>
          <w:szCs w:val="20"/>
        </w:rPr>
      </w:pPr>
    </w:p>
    <w:p w14:paraId="7AA121E8" w14:textId="77777777" w:rsidR="0072270E" w:rsidRDefault="0072270E" w:rsidP="00BD64C3">
      <w:pPr>
        <w:jc w:val="both"/>
        <w:rPr>
          <w:rFonts w:ascii="Helvetica" w:hAnsi="Helvetica"/>
          <w:sz w:val="20"/>
          <w:szCs w:val="20"/>
        </w:rPr>
      </w:pPr>
    </w:p>
    <w:p w14:paraId="30080201" w14:textId="77777777" w:rsidR="000E422A" w:rsidRDefault="000E422A" w:rsidP="00BD64C3">
      <w:pPr>
        <w:jc w:val="both"/>
        <w:rPr>
          <w:rFonts w:ascii="Helvetica" w:hAnsi="Helvetica"/>
          <w:sz w:val="20"/>
          <w:szCs w:val="20"/>
        </w:rPr>
      </w:pPr>
    </w:p>
    <w:p w14:paraId="771336C8" w14:textId="77777777" w:rsidR="000E422A" w:rsidRPr="00AD088E" w:rsidRDefault="000E422A" w:rsidP="00BD64C3">
      <w:pPr>
        <w:jc w:val="both"/>
        <w:rPr>
          <w:rFonts w:ascii="Helvetica" w:hAnsi="Helvetica"/>
          <w:sz w:val="20"/>
          <w:szCs w:val="20"/>
        </w:rPr>
      </w:pPr>
    </w:p>
    <w:sectPr w:rsidR="000E422A" w:rsidRPr="00AD0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64D"/>
    <w:multiLevelType w:val="multilevel"/>
    <w:tmpl w:val="B47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25705"/>
    <w:multiLevelType w:val="multilevel"/>
    <w:tmpl w:val="252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6358D"/>
    <w:multiLevelType w:val="hybridMultilevel"/>
    <w:tmpl w:val="40F44F00"/>
    <w:lvl w:ilvl="0" w:tplc="BD584CCA">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2764580">
    <w:abstractNumId w:val="1"/>
  </w:num>
  <w:num w:numId="2" w16cid:durableId="191118541">
    <w:abstractNumId w:val="0"/>
  </w:num>
  <w:num w:numId="3" w16cid:durableId="807627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03526"/>
    <w:rsid w:val="00014E2A"/>
    <w:rsid w:val="00040C0C"/>
    <w:rsid w:val="00045860"/>
    <w:rsid w:val="000519BB"/>
    <w:rsid w:val="00060484"/>
    <w:rsid w:val="00071131"/>
    <w:rsid w:val="0007712A"/>
    <w:rsid w:val="000B78BA"/>
    <w:rsid w:val="000D6A92"/>
    <w:rsid w:val="000E1E8B"/>
    <w:rsid w:val="000E26D1"/>
    <w:rsid w:val="000E422A"/>
    <w:rsid w:val="000E43DF"/>
    <w:rsid w:val="000F0182"/>
    <w:rsid w:val="000F2A5F"/>
    <w:rsid w:val="00112399"/>
    <w:rsid w:val="00116168"/>
    <w:rsid w:val="001245E0"/>
    <w:rsid w:val="001257BB"/>
    <w:rsid w:val="00125ACC"/>
    <w:rsid w:val="00125D33"/>
    <w:rsid w:val="00126555"/>
    <w:rsid w:val="00140298"/>
    <w:rsid w:val="00144B84"/>
    <w:rsid w:val="0014771B"/>
    <w:rsid w:val="00162921"/>
    <w:rsid w:val="00164A4C"/>
    <w:rsid w:val="00195395"/>
    <w:rsid w:val="001A3581"/>
    <w:rsid w:val="001B1C58"/>
    <w:rsid w:val="001E1C75"/>
    <w:rsid w:val="001E20F1"/>
    <w:rsid w:val="001E3E74"/>
    <w:rsid w:val="001E673C"/>
    <w:rsid w:val="001F44FC"/>
    <w:rsid w:val="0022007E"/>
    <w:rsid w:val="00235FE4"/>
    <w:rsid w:val="0023752C"/>
    <w:rsid w:val="002424E9"/>
    <w:rsid w:val="00254D57"/>
    <w:rsid w:val="00262ACC"/>
    <w:rsid w:val="0028045B"/>
    <w:rsid w:val="002874DB"/>
    <w:rsid w:val="00290515"/>
    <w:rsid w:val="0029440E"/>
    <w:rsid w:val="002946A6"/>
    <w:rsid w:val="002B1AE4"/>
    <w:rsid w:val="002B5982"/>
    <w:rsid w:val="002C386F"/>
    <w:rsid w:val="002C4B89"/>
    <w:rsid w:val="002D707D"/>
    <w:rsid w:val="002F23A4"/>
    <w:rsid w:val="0030753A"/>
    <w:rsid w:val="00314DAB"/>
    <w:rsid w:val="003159BE"/>
    <w:rsid w:val="00322114"/>
    <w:rsid w:val="00330A4E"/>
    <w:rsid w:val="00335512"/>
    <w:rsid w:val="00345A6D"/>
    <w:rsid w:val="003478B4"/>
    <w:rsid w:val="003507A4"/>
    <w:rsid w:val="003558EC"/>
    <w:rsid w:val="0035707E"/>
    <w:rsid w:val="003655AA"/>
    <w:rsid w:val="00365AD5"/>
    <w:rsid w:val="0037442E"/>
    <w:rsid w:val="003A4E17"/>
    <w:rsid w:val="003D005A"/>
    <w:rsid w:val="003E12EF"/>
    <w:rsid w:val="003E545D"/>
    <w:rsid w:val="003F153E"/>
    <w:rsid w:val="00404B4E"/>
    <w:rsid w:val="00427680"/>
    <w:rsid w:val="004367C4"/>
    <w:rsid w:val="00437AA5"/>
    <w:rsid w:val="00440A42"/>
    <w:rsid w:val="00447309"/>
    <w:rsid w:val="00455EEC"/>
    <w:rsid w:val="00474349"/>
    <w:rsid w:val="004759A9"/>
    <w:rsid w:val="004876E7"/>
    <w:rsid w:val="00487D99"/>
    <w:rsid w:val="004900F0"/>
    <w:rsid w:val="004925B0"/>
    <w:rsid w:val="004C77BA"/>
    <w:rsid w:val="004E01A4"/>
    <w:rsid w:val="004E136E"/>
    <w:rsid w:val="004E1D09"/>
    <w:rsid w:val="004E20E0"/>
    <w:rsid w:val="00500F56"/>
    <w:rsid w:val="0051175B"/>
    <w:rsid w:val="0052527F"/>
    <w:rsid w:val="00525A7B"/>
    <w:rsid w:val="005301E6"/>
    <w:rsid w:val="005412CE"/>
    <w:rsid w:val="00574144"/>
    <w:rsid w:val="005802C8"/>
    <w:rsid w:val="00590240"/>
    <w:rsid w:val="00590F51"/>
    <w:rsid w:val="005946B6"/>
    <w:rsid w:val="005B07AB"/>
    <w:rsid w:val="005B694A"/>
    <w:rsid w:val="005C0401"/>
    <w:rsid w:val="005C1203"/>
    <w:rsid w:val="005C21B9"/>
    <w:rsid w:val="005C3F61"/>
    <w:rsid w:val="005C5B68"/>
    <w:rsid w:val="005C6ADA"/>
    <w:rsid w:val="005E5484"/>
    <w:rsid w:val="005F2FF9"/>
    <w:rsid w:val="005F3871"/>
    <w:rsid w:val="005F3D55"/>
    <w:rsid w:val="005F6BF8"/>
    <w:rsid w:val="0060414B"/>
    <w:rsid w:val="006121D1"/>
    <w:rsid w:val="006228EA"/>
    <w:rsid w:val="00630880"/>
    <w:rsid w:val="00634ED7"/>
    <w:rsid w:val="006355AC"/>
    <w:rsid w:val="00643B91"/>
    <w:rsid w:val="00644F71"/>
    <w:rsid w:val="00650A0B"/>
    <w:rsid w:val="00663647"/>
    <w:rsid w:val="006739FA"/>
    <w:rsid w:val="00675BD6"/>
    <w:rsid w:val="006774BC"/>
    <w:rsid w:val="006857C2"/>
    <w:rsid w:val="006922FC"/>
    <w:rsid w:val="006D25F4"/>
    <w:rsid w:val="006D31BD"/>
    <w:rsid w:val="006F67B8"/>
    <w:rsid w:val="006F72DB"/>
    <w:rsid w:val="00705CD2"/>
    <w:rsid w:val="00713547"/>
    <w:rsid w:val="00715EA3"/>
    <w:rsid w:val="007217D0"/>
    <w:rsid w:val="0072270E"/>
    <w:rsid w:val="007332A7"/>
    <w:rsid w:val="00735158"/>
    <w:rsid w:val="00737100"/>
    <w:rsid w:val="00740E87"/>
    <w:rsid w:val="00744A8B"/>
    <w:rsid w:val="00757A27"/>
    <w:rsid w:val="00766EFD"/>
    <w:rsid w:val="00772936"/>
    <w:rsid w:val="00774113"/>
    <w:rsid w:val="007900C5"/>
    <w:rsid w:val="00793419"/>
    <w:rsid w:val="00793DA9"/>
    <w:rsid w:val="007961E7"/>
    <w:rsid w:val="007D3C20"/>
    <w:rsid w:val="00802906"/>
    <w:rsid w:val="008103D8"/>
    <w:rsid w:val="008125D0"/>
    <w:rsid w:val="008267E1"/>
    <w:rsid w:val="008326E4"/>
    <w:rsid w:val="008466C2"/>
    <w:rsid w:val="00853AC3"/>
    <w:rsid w:val="00885339"/>
    <w:rsid w:val="008943EA"/>
    <w:rsid w:val="008A372A"/>
    <w:rsid w:val="008C34FE"/>
    <w:rsid w:val="008D28FE"/>
    <w:rsid w:val="008E7DCB"/>
    <w:rsid w:val="008F02CA"/>
    <w:rsid w:val="008F194A"/>
    <w:rsid w:val="008F5DAF"/>
    <w:rsid w:val="00901761"/>
    <w:rsid w:val="0090198C"/>
    <w:rsid w:val="0090448F"/>
    <w:rsid w:val="009046AC"/>
    <w:rsid w:val="00914461"/>
    <w:rsid w:val="00914B65"/>
    <w:rsid w:val="009150DF"/>
    <w:rsid w:val="009164AB"/>
    <w:rsid w:val="009325F2"/>
    <w:rsid w:val="009350DC"/>
    <w:rsid w:val="00947016"/>
    <w:rsid w:val="00963882"/>
    <w:rsid w:val="00964A46"/>
    <w:rsid w:val="00970740"/>
    <w:rsid w:val="00983CB4"/>
    <w:rsid w:val="00990EC8"/>
    <w:rsid w:val="00992C5A"/>
    <w:rsid w:val="009942B0"/>
    <w:rsid w:val="009B7CB1"/>
    <w:rsid w:val="009C7A3C"/>
    <w:rsid w:val="009D2DA0"/>
    <w:rsid w:val="009F399C"/>
    <w:rsid w:val="009F3D8F"/>
    <w:rsid w:val="009F7387"/>
    <w:rsid w:val="00A05A1A"/>
    <w:rsid w:val="00A14055"/>
    <w:rsid w:val="00A2075E"/>
    <w:rsid w:val="00A308CE"/>
    <w:rsid w:val="00A37147"/>
    <w:rsid w:val="00A42102"/>
    <w:rsid w:val="00A51B3E"/>
    <w:rsid w:val="00A74671"/>
    <w:rsid w:val="00A81CF4"/>
    <w:rsid w:val="00A91C0A"/>
    <w:rsid w:val="00AB6A08"/>
    <w:rsid w:val="00AC7B3D"/>
    <w:rsid w:val="00AD088E"/>
    <w:rsid w:val="00AD4780"/>
    <w:rsid w:val="00AE48D6"/>
    <w:rsid w:val="00AF2830"/>
    <w:rsid w:val="00AF603A"/>
    <w:rsid w:val="00B032EB"/>
    <w:rsid w:val="00B1274E"/>
    <w:rsid w:val="00B61325"/>
    <w:rsid w:val="00B725ED"/>
    <w:rsid w:val="00B857ED"/>
    <w:rsid w:val="00B9251D"/>
    <w:rsid w:val="00B976ED"/>
    <w:rsid w:val="00B976F5"/>
    <w:rsid w:val="00BA26CB"/>
    <w:rsid w:val="00BB67BB"/>
    <w:rsid w:val="00BC02EF"/>
    <w:rsid w:val="00BD31DD"/>
    <w:rsid w:val="00BD5680"/>
    <w:rsid w:val="00BD64C3"/>
    <w:rsid w:val="00BE0EB7"/>
    <w:rsid w:val="00BF606A"/>
    <w:rsid w:val="00C03512"/>
    <w:rsid w:val="00C0588E"/>
    <w:rsid w:val="00C06319"/>
    <w:rsid w:val="00C11B6B"/>
    <w:rsid w:val="00C52FB3"/>
    <w:rsid w:val="00C653C0"/>
    <w:rsid w:val="00C65F67"/>
    <w:rsid w:val="00C74FF1"/>
    <w:rsid w:val="00C81C83"/>
    <w:rsid w:val="00C92EF7"/>
    <w:rsid w:val="00C93092"/>
    <w:rsid w:val="00C93715"/>
    <w:rsid w:val="00C97716"/>
    <w:rsid w:val="00CA06CE"/>
    <w:rsid w:val="00CB23B6"/>
    <w:rsid w:val="00CD05EF"/>
    <w:rsid w:val="00CD2E74"/>
    <w:rsid w:val="00CE4B32"/>
    <w:rsid w:val="00CF59BD"/>
    <w:rsid w:val="00D05A0C"/>
    <w:rsid w:val="00D22278"/>
    <w:rsid w:val="00D22702"/>
    <w:rsid w:val="00D23469"/>
    <w:rsid w:val="00D4175B"/>
    <w:rsid w:val="00D43BB0"/>
    <w:rsid w:val="00D61B3A"/>
    <w:rsid w:val="00D63BE2"/>
    <w:rsid w:val="00D67B9D"/>
    <w:rsid w:val="00D82F7D"/>
    <w:rsid w:val="00D967E1"/>
    <w:rsid w:val="00D97078"/>
    <w:rsid w:val="00DA1B85"/>
    <w:rsid w:val="00DB584B"/>
    <w:rsid w:val="00DC766E"/>
    <w:rsid w:val="00DD0475"/>
    <w:rsid w:val="00DD354E"/>
    <w:rsid w:val="00DD5075"/>
    <w:rsid w:val="00DE6914"/>
    <w:rsid w:val="00E057E4"/>
    <w:rsid w:val="00E13375"/>
    <w:rsid w:val="00E21DEE"/>
    <w:rsid w:val="00E25355"/>
    <w:rsid w:val="00E3114D"/>
    <w:rsid w:val="00E35970"/>
    <w:rsid w:val="00E4596E"/>
    <w:rsid w:val="00E51958"/>
    <w:rsid w:val="00E57BB9"/>
    <w:rsid w:val="00E60942"/>
    <w:rsid w:val="00E60B0B"/>
    <w:rsid w:val="00E664D3"/>
    <w:rsid w:val="00E71E98"/>
    <w:rsid w:val="00E86BD6"/>
    <w:rsid w:val="00EB6704"/>
    <w:rsid w:val="00EE78F8"/>
    <w:rsid w:val="00EF2B70"/>
    <w:rsid w:val="00F02990"/>
    <w:rsid w:val="00F046BE"/>
    <w:rsid w:val="00F056F5"/>
    <w:rsid w:val="00F13D19"/>
    <w:rsid w:val="00F4410B"/>
    <w:rsid w:val="00F5173A"/>
    <w:rsid w:val="00F52451"/>
    <w:rsid w:val="00F54C46"/>
    <w:rsid w:val="00F641E3"/>
    <w:rsid w:val="00F671A9"/>
    <w:rsid w:val="00F73CB6"/>
    <w:rsid w:val="00F81AC2"/>
    <w:rsid w:val="00F875B0"/>
    <w:rsid w:val="00F87F72"/>
    <w:rsid w:val="00F94C34"/>
    <w:rsid w:val="00FA7F0C"/>
    <w:rsid w:val="00FB3073"/>
    <w:rsid w:val="00FB3578"/>
    <w:rsid w:val="00FF685B"/>
    <w:rsid w:val="00FF7F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styleId="NormalWeb">
    <w:name w:val="Normal (Web)"/>
    <w:basedOn w:val="Normal"/>
    <w:uiPriority w:val="99"/>
    <w:unhideWhenUsed/>
    <w:rsid w:val="001265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26555"/>
  </w:style>
  <w:style w:type="character" w:styleId="Emphasis">
    <w:name w:val="Emphasis"/>
    <w:basedOn w:val="DefaultParagraphFont"/>
    <w:uiPriority w:val="20"/>
    <w:qFormat/>
    <w:rsid w:val="00126555"/>
    <w:rPr>
      <w:i/>
      <w:iCs/>
    </w:rPr>
  </w:style>
  <w:style w:type="character" w:styleId="Strong">
    <w:name w:val="Strong"/>
    <w:basedOn w:val="DefaultParagraphFont"/>
    <w:uiPriority w:val="22"/>
    <w:qFormat/>
    <w:rsid w:val="005C21B9"/>
    <w:rPr>
      <w:b/>
      <w:bCs/>
    </w:rPr>
  </w:style>
  <w:style w:type="table" w:styleId="TableGrid">
    <w:name w:val="Table Grid"/>
    <w:basedOn w:val="TableNormal"/>
    <w:uiPriority w:val="39"/>
    <w:rsid w:val="00BF6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05EF"/>
    <w:rPr>
      <w:color w:val="666666"/>
    </w:rPr>
  </w:style>
  <w:style w:type="character" w:styleId="HTMLCode">
    <w:name w:val="HTML Code"/>
    <w:basedOn w:val="DefaultParagraphFont"/>
    <w:uiPriority w:val="99"/>
    <w:semiHidden/>
    <w:unhideWhenUsed/>
    <w:rsid w:val="005946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1491</Words>
  <Characters>8500</Characters>
  <Application>Microsoft Office Word</Application>
  <DocSecurity>0</DocSecurity>
  <Lines>70</Lines>
  <Paragraphs>19</Paragraphs>
  <ScaleCrop>false</ScaleCrop>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351</cp:revision>
  <dcterms:created xsi:type="dcterms:W3CDTF">2026-01-12T01:27:00Z</dcterms:created>
  <dcterms:modified xsi:type="dcterms:W3CDTF">2026-01-21T10:31:00Z</dcterms:modified>
</cp:coreProperties>
</file>