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E62F77E" w14:textId="77777777" w:rsidR="001140A3" w:rsidRDefault="001140A3" w:rsidP="001140A3">
      <w:pPr>
        <w:spacing w:after="300"/>
        <w:jc w:val="center"/>
        <w:rPr>
          <w:b/>
          <w:bCs/>
          <w:color w:val="1F3864"/>
          <w:sz w:val="40"/>
          <w:szCs w:val="40"/>
        </w:rPr>
      </w:pPr>
      <w:bookmarkStart w:id="0" w:name="_Toc239542895"/>
    </w:p>
    <w:p w14:paraId="4E06B307" w14:textId="77777777" w:rsidR="001140A3" w:rsidRDefault="001140A3" w:rsidP="001140A3">
      <w:pPr>
        <w:spacing w:after="300"/>
        <w:jc w:val="center"/>
        <w:rPr>
          <w:b/>
          <w:bCs/>
          <w:color w:val="1F3864"/>
          <w:sz w:val="40"/>
          <w:szCs w:val="40"/>
        </w:rPr>
      </w:pPr>
    </w:p>
    <w:p w14:paraId="44A99843" w14:textId="77777777" w:rsidR="001140A3" w:rsidRDefault="001140A3" w:rsidP="001140A3">
      <w:pPr>
        <w:spacing w:after="300"/>
        <w:jc w:val="center"/>
        <w:rPr>
          <w:b/>
          <w:bCs/>
          <w:color w:val="1F3864"/>
          <w:sz w:val="40"/>
          <w:szCs w:val="40"/>
        </w:rPr>
      </w:pPr>
    </w:p>
    <w:p w14:paraId="5D1BB3B6" w14:textId="77777777" w:rsidR="001140A3" w:rsidRDefault="001140A3" w:rsidP="001140A3">
      <w:pPr>
        <w:spacing w:after="300"/>
        <w:jc w:val="center"/>
        <w:rPr>
          <w:b/>
          <w:bCs/>
          <w:color w:val="1F3864"/>
          <w:sz w:val="40"/>
          <w:szCs w:val="40"/>
        </w:rPr>
      </w:pPr>
    </w:p>
    <w:p w14:paraId="0A78BD55" w14:textId="77777777" w:rsidR="001140A3" w:rsidRDefault="001140A3" w:rsidP="001140A3">
      <w:pPr>
        <w:spacing w:after="300"/>
        <w:jc w:val="center"/>
        <w:rPr>
          <w:b/>
          <w:bCs/>
          <w:color w:val="1F3864"/>
          <w:sz w:val="40"/>
          <w:szCs w:val="40"/>
        </w:rPr>
      </w:pPr>
    </w:p>
    <w:p w14:paraId="18EBCE21" w14:textId="77777777" w:rsidR="001140A3" w:rsidRDefault="001140A3" w:rsidP="001140A3">
      <w:pPr>
        <w:spacing w:after="300"/>
        <w:jc w:val="center"/>
        <w:rPr>
          <w:b/>
          <w:bCs/>
          <w:color w:val="1F3864"/>
          <w:sz w:val="40"/>
          <w:szCs w:val="40"/>
        </w:rPr>
      </w:pPr>
    </w:p>
    <w:p w14:paraId="6CEF2B7B" w14:textId="0413354A" w:rsidR="001140A3" w:rsidRPr="001140A3" w:rsidRDefault="001140A3" w:rsidP="001140A3">
      <w:pPr>
        <w:spacing w:before="200" w:after="60"/>
        <w:jc w:val="center"/>
      </w:pPr>
      <w:r>
        <w:rPr>
          <w:b/>
          <w:bCs/>
          <w:color w:val="595959"/>
          <w:sz w:val="20"/>
          <w:szCs w:val="20"/>
        </w:rPr>
        <w:t>LEVEL 1 — FINANCIAL MARKETS FOUNDATIONS</w:t>
      </w:r>
    </w:p>
    <w:p w14:paraId="28E61B63" w14:textId="294F940B" w:rsidR="001140A3" w:rsidRDefault="001140A3" w:rsidP="001140A3">
      <w:pPr>
        <w:spacing w:after="300"/>
        <w:jc w:val="center"/>
      </w:pPr>
      <w:r>
        <w:rPr>
          <w:b/>
          <w:bCs/>
          <w:color w:val="1F3864"/>
          <w:sz w:val="40"/>
          <w:szCs w:val="40"/>
        </w:rPr>
        <w:t>Financial Market Structure, Asset Classes &amp; Trading Mechanics</w:t>
      </w:r>
    </w:p>
    <w:p w14:paraId="1EB577D7" w14:textId="77777777" w:rsidR="001140A3" w:rsidRDefault="001140A3" w:rsidP="001140A3">
      <w:pPr>
        <w:spacing w:after="120"/>
      </w:pPr>
      <w:r>
        <w:t>This is the expanded reference edition of the three Level 1 topics that open the curriculum's Financial Markets Foundations track. Each topic keeps its original learning-position summary and then goes substantially deeper: diagrams of how markets and trades actually work, reference tables with real conventions and figures, worked numerical examples with full arithmetic, and charts quantifying scale, cost and risk. Figures without a cited source are illustrative, constructed for teaching purposes and clearly labelled as such.</w:t>
      </w:r>
    </w:p>
    <w:p w14:paraId="54708CAF" w14:textId="77777777" w:rsidR="001140A3" w:rsidRDefault="001140A3">
      <w:pPr>
        <w:pStyle w:val="Heading1"/>
      </w:pPr>
    </w:p>
    <w:p w14:paraId="2C7E5BFC" w14:textId="77777777" w:rsidR="001140A3" w:rsidRDefault="001140A3">
      <w:pPr>
        <w:pStyle w:val="Heading1"/>
      </w:pPr>
    </w:p>
    <w:p w14:paraId="1ADE1E69" w14:textId="77777777" w:rsidR="001140A3" w:rsidRDefault="001140A3">
      <w:pPr>
        <w:pStyle w:val="Heading1"/>
      </w:pPr>
    </w:p>
    <w:p w14:paraId="550357D1" w14:textId="77777777" w:rsidR="001140A3" w:rsidRDefault="001140A3">
      <w:pPr>
        <w:pStyle w:val="Heading1"/>
      </w:pPr>
    </w:p>
    <w:p w14:paraId="295534A9" w14:textId="77777777" w:rsidR="001140A3" w:rsidRDefault="001140A3">
      <w:pPr>
        <w:pStyle w:val="Heading1"/>
      </w:pPr>
    </w:p>
    <w:p w14:paraId="4711DD51" w14:textId="77777777" w:rsidR="001140A3" w:rsidRDefault="001140A3">
      <w:pPr>
        <w:pStyle w:val="Heading1"/>
      </w:pPr>
    </w:p>
    <w:p w14:paraId="0A7ADE46" w14:textId="77777777" w:rsidR="001140A3" w:rsidRDefault="001140A3">
      <w:pPr>
        <w:pStyle w:val="Heading1"/>
      </w:pPr>
    </w:p>
    <w:p w14:paraId="1D5341C0" w14:textId="77777777" w:rsidR="001140A3" w:rsidRDefault="001140A3">
      <w:pPr>
        <w:pStyle w:val="Heading1"/>
      </w:pPr>
    </w:p>
    <w:p w14:paraId="6F797764" w14:textId="77777777" w:rsidR="00E97A99" w:rsidRDefault="00E97A99">
      <w:pPr>
        <w:pStyle w:val="Heading1"/>
      </w:pPr>
    </w:p>
    <w:p w14:paraId="24BF45F5" w14:textId="7363BDAD" w:rsidR="00EE18AE" w:rsidRDefault="00000000">
      <w:pPr>
        <w:pStyle w:val="Heading1"/>
      </w:pPr>
      <w:r>
        <w:lastRenderedPageBreak/>
        <w:t>Table of Contents</w:t>
      </w:r>
      <w:bookmarkEnd w:id="0"/>
    </w:p>
    <w:p w14:paraId="58EB8931" w14:textId="77777777" w:rsidR="00EE18AE" w:rsidRDefault="00000000">
      <w:pPr>
        <w:spacing w:after="200"/>
      </w:pPr>
      <w:r>
        <w:rPr>
          <w:i/>
          <w:iCs/>
          <w:color w:val="595959"/>
          <w:sz w:val="18"/>
          <w:szCs w:val="18"/>
        </w:rPr>
        <w:t>Right-click and choose “Update Field” (or “Update entire table”) after opening in Word to populate page numbers.</w:t>
      </w:r>
    </w:p>
    <w:sdt>
      <w:sdtPr>
        <w:alias w:val="Table of Contents"/>
        <w:id w:val="-812632760"/>
      </w:sdtPr>
      <w:sdtContent>
        <w:p w14:paraId="5EFAF7B0" w14:textId="77777777" w:rsidR="00DF09AA" w:rsidRDefault="00000000">
          <w:pPr>
            <w:pStyle w:val="TOC1"/>
            <w:tabs>
              <w:tab w:val="right" w:leader="dot" w:pos="9710"/>
            </w:tabs>
            <w:rPr>
              <w:noProof/>
            </w:rPr>
          </w:pPr>
          <w:r>
            <w:fldChar w:fldCharType="begin"/>
          </w:r>
          <w:r>
            <w:instrText>TOC \h \o "1-3"</w:instrText>
          </w:r>
          <w:r>
            <w:fldChar w:fldCharType="separate"/>
          </w:r>
          <w:hyperlink w:anchor="_Toc239542895" w:history="1">
            <w:r w:rsidR="00DF09AA" w:rsidRPr="004D4697">
              <w:rPr>
                <w:rStyle w:val="Hyperlink"/>
                <w:noProof/>
              </w:rPr>
              <w:t>Table of Contents</w:t>
            </w:r>
            <w:r w:rsidR="00DF09AA">
              <w:rPr>
                <w:noProof/>
              </w:rPr>
              <w:tab/>
            </w:r>
            <w:r w:rsidR="00DF09AA">
              <w:rPr>
                <w:noProof/>
              </w:rPr>
              <w:fldChar w:fldCharType="begin"/>
            </w:r>
            <w:r w:rsidR="00DF09AA">
              <w:rPr>
                <w:noProof/>
              </w:rPr>
              <w:instrText xml:space="preserve"> PAGEREF _Toc239542895 \h </w:instrText>
            </w:r>
            <w:r w:rsidR="00DF09AA">
              <w:rPr>
                <w:noProof/>
              </w:rPr>
            </w:r>
            <w:r w:rsidR="00DF09AA">
              <w:rPr>
                <w:noProof/>
              </w:rPr>
              <w:fldChar w:fldCharType="separate"/>
            </w:r>
            <w:r w:rsidR="00DF09AA">
              <w:rPr>
                <w:noProof/>
              </w:rPr>
              <w:t>1</w:t>
            </w:r>
            <w:r w:rsidR="00DF09AA">
              <w:rPr>
                <w:noProof/>
              </w:rPr>
              <w:fldChar w:fldCharType="end"/>
            </w:r>
          </w:hyperlink>
        </w:p>
        <w:p w14:paraId="5CFD0170" w14:textId="77777777" w:rsidR="00DF09AA" w:rsidRDefault="00DF09AA">
          <w:pPr>
            <w:pStyle w:val="TOC1"/>
            <w:tabs>
              <w:tab w:val="right" w:leader="dot" w:pos="9710"/>
            </w:tabs>
            <w:rPr>
              <w:noProof/>
            </w:rPr>
          </w:pPr>
          <w:hyperlink w:anchor="_Toc239542896" w:history="1">
            <w:r w:rsidRPr="004D4697">
              <w:rPr>
                <w:rStyle w:val="Hyperlink"/>
                <w:noProof/>
              </w:rPr>
              <w:t>1. Financial Market Structure  (Level 1)</w:t>
            </w:r>
            <w:r>
              <w:rPr>
                <w:noProof/>
              </w:rPr>
              <w:tab/>
            </w:r>
            <w:r>
              <w:rPr>
                <w:noProof/>
              </w:rPr>
              <w:fldChar w:fldCharType="begin"/>
            </w:r>
            <w:r>
              <w:rPr>
                <w:noProof/>
              </w:rPr>
              <w:instrText xml:space="preserve"> PAGEREF _Toc239542896 \h </w:instrText>
            </w:r>
            <w:r>
              <w:rPr>
                <w:noProof/>
              </w:rPr>
            </w:r>
            <w:r>
              <w:rPr>
                <w:noProof/>
              </w:rPr>
              <w:fldChar w:fldCharType="separate"/>
            </w:r>
            <w:r>
              <w:rPr>
                <w:noProof/>
              </w:rPr>
              <w:t>1</w:t>
            </w:r>
            <w:r>
              <w:rPr>
                <w:noProof/>
              </w:rPr>
              <w:fldChar w:fldCharType="end"/>
            </w:r>
          </w:hyperlink>
        </w:p>
        <w:p w14:paraId="712D121B" w14:textId="77777777" w:rsidR="00DF09AA" w:rsidRDefault="00DF09AA">
          <w:pPr>
            <w:pStyle w:val="TOC2"/>
            <w:tabs>
              <w:tab w:val="right" w:leader="dot" w:pos="9710"/>
            </w:tabs>
            <w:rPr>
              <w:noProof/>
            </w:rPr>
          </w:pPr>
          <w:hyperlink w:anchor="_Toc239542897" w:history="1">
            <w:r w:rsidRPr="004D4697">
              <w:rPr>
                <w:rStyle w:val="Hyperlink"/>
                <w:noProof/>
              </w:rPr>
              <w:t>1.1 Learning Position at a Glance</w:t>
            </w:r>
            <w:r>
              <w:rPr>
                <w:noProof/>
              </w:rPr>
              <w:tab/>
            </w:r>
            <w:r>
              <w:rPr>
                <w:noProof/>
              </w:rPr>
              <w:fldChar w:fldCharType="begin"/>
            </w:r>
            <w:r>
              <w:rPr>
                <w:noProof/>
              </w:rPr>
              <w:instrText xml:space="preserve"> PAGEREF _Toc239542897 \h </w:instrText>
            </w:r>
            <w:r>
              <w:rPr>
                <w:noProof/>
              </w:rPr>
            </w:r>
            <w:r>
              <w:rPr>
                <w:noProof/>
              </w:rPr>
              <w:fldChar w:fldCharType="separate"/>
            </w:r>
            <w:r>
              <w:rPr>
                <w:noProof/>
              </w:rPr>
              <w:t>1</w:t>
            </w:r>
            <w:r>
              <w:rPr>
                <w:noProof/>
              </w:rPr>
              <w:fldChar w:fldCharType="end"/>
            </w:r>
          </w:hyperlink>
        </w:p>
        <w:p w14:paraId="691C8FA4" w14:textId="77777777" w:rsidR="00DF09AA" w:rsidRDefault="00DF09AA">
          <w:pPr>
            <w:pStyle w:val="TOC2"/>
            <w:tabs>
              <w:tab w:val="right" w:leader="dot" w:pos="9710"/>
            </w:tabs>
            <w:rPr>
              <w:noProof/>
            </w:rPr>
          </w:pPr>
          <w:hyperlink w:anchor="_Toc239542898" w:history="1">
            <w:r w:rsidRPr="004D4697">
              <w:rPr>
                <w:rStyle w:val="Hyperlink"/>
                <w:noProof/>
              </w:rPr>
              <w:t>1.2 The Structure of Financial Markets</w:t>
            </w:r>
            <w:r>
              <w:rPr>
                <w:noProof/>
              </w:rPr>
              <w:tab/>
            </w:r>
            <w:r>
              <w:rPr>
                <w:noProof/>
              </w:rPr>
              <w:fldChar w:fldCharType="begin"/>
            </w:r>
            <w:r>
              <w:rPr>
                <w:noProof/>
              </w:rPr>
              <w:instrText xml:space="preserve"> PAGEREF _Toc239542898 \h </w:instrText>
            </w:r>
            <w:r>
              <w:rPr>
                <w:noProof/>
              </w:rPr>
            </w:r>
            <w:r>
              <w:rPr>
                <w:noProof/>
              </w:rPr>
              <w:fldChar w:fldCharType="separate"/>
            </w:r>
            <w:r>
              <w:rPr>
                <w:noProof/>
              </w:rPr>
              <w:t>1</w:t>
            </w:r>
            <w:r>
              <w:rPr>
                <w:noProof/>
              </w:rPr>
              <w:fldChar w:fldCharType="end"/>
            </w:r>
          </w:hyperlink>
        </w:p>
        <w:p w14:paraId="07BF6DC2" w14:textId="77777777" w:rsidR="00DF09AA" w:rsidRDefault="00DF09AA">
          <w:pPr>
            <w:pStyle w:val="TOC3"/>
            <w:tabs>
              <w:tab w:val="right" w:leader="dot" w:pos="9710"/>
            </w:tabs>
            <w:rPr>
              <w:noProof/>
            </w:rPr>
          </w:pPr>
          <w:hyperlink w:anchor="_Toc239542899" w:history="1">
            <w:r w:rsidRPr="004D4697">
              <w:rPr>
                <w:rStyle w:val="Hyperlink"/>
                <w:noProof/>
              </w:rPr>
              <w:t>Exchanges vs OTC Markets vs ATSs</w:t>
            </w:r>
            <w:r>
              <w:rPr>
                <w:noProof/>
              </w:rPr>
              <w:tab/>
            </w:r>
            <w:r>
              <w:rPr>
                <w:noProof/>
              </w:rPr>
              <w:fldChar w:fldCharType="begin"/>
            </w:r>
            <w:r>
              <w:rPr>
                <w:noProof/>
              </w:rPr>
              <w:instrText xml:space="preserve"> PAGEREF _Toc239542899 \h </w:instrText>
            </w:r>
            <w:r>
              <w:rPr>
                <w:noProof/>
              </w:rPr>
            </w:r>
            <w:r>
              <w:rPr>
                <w:noProof/>
              </w:rPr>
              <w:fldChar w:fldCharType="separate"/>
            </w:r>
            <w:r>
              <w:rPr>
                <w:noProof/>
              </w:rPr>
              <w:t>1</w:t>
            </w:r>
            <w:r>
              <w:rPr>
                <w:noProof/>
              </w:rPr>
              <w:fldChar w:fldCharType="end"/>
            </w:r>
          </w:hyperlink>
        </w:p>
        <w:p w14:paraId="55E26386" w14:textId="77777777" w:rsidR="00DF09AA" w:rsidRDefault="00DF09AA">
          <w:pPr>
            <w:pStyle w:val="TOC3"/>
            <w:tabs>
              <w:tab w:val="right" w:leader="dot" w:pos="9710"/>
            </w:tabs>
            <w:rPr>
              <w:noProof/>
            </w:rPr>
          </w:pPr>
          <w:hyperlink w:anchor="_Toc239542900" w:history="1">
            <w:r w:rsidRPr="004D4697">
              <w:rPr>
                <w:rStyle w:val="Hyperlink"/>
                <w:noProof/>
              </w:rPr>
              <w:t>Primary vs Secondary Markets</w:t>
            </w:r>
            <w:r>
              <w:rPr>
                <w:noProof/>
              </w:rPr>
              <w:tab/>
            </w:r>
            <w:r>
              <w:rPr>
                <w:noProof/>
              </w:rPr>
              <w:fldChar w:fldCharType="begin"/>
            </w:r>
            <w:r>
              <w:rPr>
                <w:noProof/>
              </w:rPr>
              <w:instrText xml:space="preserve"> PAGEREF _Toc239542900 \h </w:instrText>
            </w:r>
            <w:r>
              <w:rPr>
                <w:noProof/>
              </w:rPr>
            </w:r>
            <w:r>
              <w:rPr>
                <w:noProof/>
              </w:rPr>
              <w:fldChar w:fldCharType="separate"/>
            </w:r>
            <w:r>
              <w:rPr>
                <w:noProof/>
              </w:rPr>
              <w:t>1</w:t>
            </w:r>
            <w:r>
              <w:rPr>
                <w:noProof/>
              </w:rPr>
              <w:fldChar w:fldCharType="end"/>
            </w:r>
          </w:hyperlink>
        </w:p>
        <w:p w14:paraId="6910E06C" w14:textId="77777777" w:rsidR="00DF09AA" w:rsidRDefault="00DF09AA">
          <w:pPr>
            <w:pStyle w:val="TOC2"/>
            <w:tabs>
              <w:tab w:val="right" w:leader="dot" w:pos="9710"/>
            </w:tabs>
            <w:rPr>
              <w:noProof/>
            </w:rPr>
          </w:pPr>
          <w:hyperlink w:anchor="_Toc239542901" w:history="1">
            <w:r w:rsidRPr="004D4697">
              <w:rPr>
                <w:rStyle w:val="Hyperlink"/>
                <w:noProof/>
              </w:rPr>
              <w:t>1.3 Market Participants — Reference Table</w:t>
            </w:r>
            <w:r>
              <w:rPr>
                <w:noProof/>
              </w:rPr>
              <w:tab/>
            </w:r>
            <w:r>
              <w:rPr>
                <w:noProof/>
              </w:rPr>
              <w:fldChar w:fldCharType="begin"/>
            </w:r>
            <w:r>
              <w:rPr>
                <w:noProof/>
              </w:rPr>
              <w:instrText xml:space="preserve"> PAGEREF _Toc239542901 \h </w:instrText>
            </w:r>
            <w:r>
              <w:rPr>
                <w:noProof/>
              </w:rPr>
            </w:r>
            <w:r>
              <w:rPr>
                <w:noProof/>
              </w:rPr>
              <w:fldChar w:fldCharType="separate"/>
            </w:r>
            <w:r>
              <w:rPr>
                <w:noProof/>
              </w:rPr>
              <w:t>1</w:t>
            </w:r>
            <w:r>
              <w:rPr>
                <w:noProof/>
              </w:rPr>
              <w:fldChar w:fldCharType="end"/>
            </w:r>
          </w:hyperlink>
        </w:p>
        <w:p w14:paraId="477E79C8" w14:textId="77777777" w:rsidR="00DF09AA" w:rsidRDefault="00DF09AA">
          <w:pPr>
            <w:pStyle w:val="TOC2"/>
            <w:tabs>
              <w:tab w:val="right" w:leader="dot" w:pos="9710"/>
            </w:tabs>
            <w:rPr>
              <w:noProof/>
            </w:rPr>
          </w:pPr>
          <w:hyperlink w:anchor="_Toc239542902" w:history="1">
            <w:r w:rsidRPr="004D4697">
              <w:rPr>
                <w:rStyle w:val="Hyperlink"/>
                <w:noProof/>
              </w:rPr>
              <w:t>1.4 The Trade Lifecycle</w:t>
            </w:r>
            <w:r>
              <w:rPr>
                <w:noProof/>
              </w:rPr>
              <w:tab/>
            </w:r>
            <w:r>
              <w:rPr>
                <w:noProof/>
              </w:rPr>
              <w:fldChar w:fldCharType="begin"/>
            </w:r>
            <w:r>
              <w:rPr>
                <w:noProof/>
              </w:rPr>
              <w:instrText xml:space="preserve"> PAGEREF _Toc239542902 \h </w:instrText>
            </w:r>
            <w:r>
              <w:rPr>
                <w:noProof/>
              </w:rPr>
            </w:r>
            <w:r>
              <w:rPr>
                <w:noProof/>
              </w:rPr>
              <w:fldChar w:fldCharType="separate"/>
            </w:r>
            <w:r>
              <w:rPr>
                <w:noProof/>
              </w:rPr>
              <w:t>1</w:t>
            </w:r>
            <w:r>
              <w:rPr>
                <w:noProof/>
              </w:rPr>
              <w:fldChar w:fldCharType="end"/>
            </w:r>
          </w:hyperlink>
        </w:p>
        <w:p w14:paraId="5A12D2BC" w14:textId="77777777" w:rsidR="00DF09AA" w:rsidRDefault="00DF09AA">
          <w:pPr>
            <w:pStyle w:val="TOC3"/>
            <w:tabs>
              <w:tab w:val="right" w:leader="dot" w:pos="9710"/>
            </w:tabs>
            <w:rPr>
              <w:noProof/>
            </w:rPr>
          </w:pPr>
          <w:hyperlink w:anchor="_Toc239542903" w:history="1">
            <w:r w:rsidRPr="004D4697">
              <w:rPr>
                <w:rStyle w:val="Hyperlink"/>
                <w:noProof/>
              </w:rPr>
              <w:t>What Happens at Each Stage</w:t>
            </w:r>
            <w:r>
              <w:rPr>
                <w:noProof/>
              </w:rPr>
              <w:tab/>
            </w:r>
            <w:r>
              <w:rPr>
                <w:noProof/>
              </w:rPr>
              <w:fldChar w:fldCharType="begin"/>
            </w:r>
            <w:r>
              <w:rPr>
                <w:noProof/>
              </w:rPr>
              <w:instrText xml:space="preserve"> PAGEREF _Toc239542903 \h </w:instrText>
            </w:r>
            <w:r>
              <w:rPr>
                <w:noProof/>
              </w:rPr>
            </w:r>
            <w:r>
              <w:rPr>
                <w:noProof/>
              </w:rPr>
              <w:fldChar w:fldCharType="separate"/>
            </w:r>
            <w:r>
              <w:rPr>
                <w:noProof/>
              </w:rPr>
              <w:t>1</w:t>
            </w:r>
            <w:r>
              <w:rPr>
                <w:noProof/>
              </w:rPr>
              <w:fldChar w:fldCharType="end"/>
            </w:r>
          </w:hyperlink>
        </w:p>
        <w:p w14:paraId="1F2B5169" w14:textId="77777777" w:rsidR="00DF09AA" w:rsidRDefault="00DF09AA">
          <w:pPr>
            <w:pStyle w:val="TOC2"/>
            <w:tabs>
              <w:tab w:val="right" w:leader="dot" w:pos="9710"/>
            </w:tabs>
            <w:rPr>
              <w:noProof/>
            </w:rPr>
          </w:pPr>
          <w:hyperlink w:anchor="_Toc239542904" w:history="1">
            <w:r w:rsidRPr="004D4697">
              <w:rPr>
                <w:rStyle w:val="Hyperlink"/>
                <w:noProof/>
              </w:rPr>
              <w:t>1.5 Settlement Timelines Have Been Shrinking</w:t>
            </w:r>
            <w:r>
              <w:rPr>
                <w:noProof/>
              </w:rPr>
              <w:tab/>
            </w:r>
            <w:r>
              <w:rPr>
                <w:noProof/>
              </w:rPr>
              <w:fldChar w:fldCharType="begin"/>
            </w:r>
            <w:r>
              <w:rPr>
                <w:noProof/>
              </w:rPr>
              <w:instrText xml:space="preserve"> PAGEREF _Toc239542904 \h </w:instrText>
            </w:r>
            <w:r>
              <w:rPr>
                <w:noProof/>
              </w:rPr>
            </w:r>
            <w:r>
              <w:rPr>
                <w:noProof/>
              </w:rPr>
              <w:fldChar w:fldCharType="separate"/>
            </w:r>
            <w:r>
              <w:rPr>
                <w:noProof/>
              </w:rPr>
              <w:t>1</w:t>
            </w:r>
            <w:r>
              <w:rPr>
                <w:noProof/>
              </w:rPr>
              <w:fldChar w:fldCharType="end"/>
            </w:r>
          </w:hyperlink>
        </w:p>
        <w:p w14:paraId="5BDEFE30" w14:textId="77777777" w:rsidR="00DF09AA" w:rsidRDefault="00DF09AA">
          <w:pPr>
            <w:pStyle w:val="TOC2"/>
            <w:tabs>
              <w:tab w:val="right" w:leader="dot" w:pos="9710"/>
            </w:tabs>
            <w:rPr>
              <w:noProof/>
            </w:rPr>
          </w:pPr>
          <w:hyperlink w:anchor="_Toc239542905" w:history="1">
            <w:r w:rsidRPr="004D4697">
              <w:rPr>
                <w:rStyle w:val="Hyperlink"/>
                <w:noProof/>
              </w:rPr>
              <w:t>1.6 Where the Trading Actually Happens: Market Size by Venue Type</w:t>
            </w:r>
            <w:r>
              <w:rPr>
                <w:noProof/>
              </w:rPr>
              <w:tab/>
            </w:r>
            <w:r>
              <w:rPr>
                <w:noProof/>
              </w:rPr>
              <w:fldChar w:fldCharType="begin"/>
            </w:r>
            <w:r>
              <w:rPr>
                <w:noProof/>
              </w:rPr>
              <w:instrText xml:space="preserve"> PAGEREF _Toc239542905 \h </w:instrText>
            </w:r>
            <w:r>
              <w:rPr>
                <w:noProof/>
              </w:rPr>
            </w:r>
            <w:r>
              <w:rPr>
                <w:noProof/>
              </w:rPr>
              <w:fldChar w:fldCharType="separate"/>
            </w:r>
            <w:r>
              <w:rPr>
                <w:noProof/>
              </w:rPr>
              <w:t>1</w:t>
            </w:r>
            <w:r>
              <w:rPr>
                <w:noProof/>
              </w:rPr>
              <w:fldChar w:fldCharType="end"/>
            </w:r>
          </w:hyperlink>
        </w:p>
        <w:p w14:paraId="14CA5780" w14:textId="77777777" w:rsidR="00DF09AA" w:rsidRDefault="00DF09AA">
          <w:pPr>
            <w:pStyle w:val="TOC2"/>
            <w:tabs>
              <w:tab w:val="right" w:leader="dot" w:pos="9710"/>
            </w:tabs>
            <w:rPr>
              <w:noProof/>
            </w:rPr>
          </w:pPr>
          <w:hyperlink w:anchor="_Toc239542906" w:history="1">
            <w:r w:rsidRPr="004D4697">
              <w:rPr>
                <w:rStyle w:val="Hyperlink"/>
                <w:noProof/>
              </w:rPr>
              <w:t>1.7 Central Clearing &amp; the CCP — Why Novation Exists</w:t>
            </w:r>
            <w:r>
              <w:rPr>
                <w:noProof/>
              </w:rPr>
              <w:tab/>
            </w:r>
            <w:r>
              <w:rPr>
                <w:noProof/>
              </w:rPr>
              <w:fldChar w:fldCharType="begin"/>
            </w:r>
            <w:r>
              <w:rPr>
                <w:noProof/>
              </w:rPr>
              <w:instrText xml:space="preserve"> PAGEREF _Toc239542906 \h </w:instrText>
            </w:r>
            <w:r>
              <w:rPr>
                <w:noProof/>
              </w:rPr>
            </w:r>
            <w:r>
              <w:rPr>
                <w:noProof/>
              </w:rPr>
              <w:fldChar w:fldCharType="separate"/>
            </w:r>
            <w:r>
              <w:rPr>
                <w:noProof/>
              </w:rPr>
              <w:t>1</w:t>
            </w:r>
            <w:r>
              <w:rPr>
                <w:noProof/>
              </w:rPr>
              <w:fldChar w:fldCharType="end"/>
            </w:r>
          </w:hyperlink>
        </w:p>
        <w:p w14:paraId="318B77BB" w14:textId="77777777" w:rsidR="00DF09AA" w:rsidRDefault="00DF09AA">
          <w:pPr>
            <w:pStyle w:val="TOC2"/>
            <w:tabs>
              <w:tab w:val="right" w:leader="dot" w:pos="9710"/>
            </w:tabs>
            <w:rPr>
              <w:noProof/>
            </w:rPr>
          </w:pPr>
          <w:hyperlink w:anchor="_Toc239542907" w:history="1">
            <w:r w:rsidRPr="004D4697">
              <w:rPr>
                <w:rStyle w:val="Hyperlink"/>
                <w:noProof/>
              </w:rPr>
              <w:t>1.8 Worked Exercise — Model Answer</w:t>
            </w:r>
            <w:r>
              <w:rPr>
                <w:noProof/>
              </w:rPr>
              <w:tab/>
            </w:r>
            <w:r>
              <w:rPr>
                <w:noProof/>
              </w:rPr>
              <w:fldChar w:fldCharType="begin"/>
            </w:r>
            <w:r>
              <w:rPr>
                <w:noProof/>
              </w:rPr>
              <w:instrText xml:space="preserve"> PAGEREF _Toc239542907 \h </w:instrText>
            </w:r>
            <w:r>
              <w:rPr>
                <w:noProof/>
              </w:rPr>
            </w:r>
            <w:r>
              <w:rPr>
                <w:noProof/>
              </w:rPr>
              <w:fldChar w:fldCharType="separate"/>
            </w:r>
            <w:r>
              <w:rPr>
                <w:noProof/>
              </w:rPr>
              <w:t>1</w:t>
            </w:r>
            <w:r>
              <w:rPr>
                <w:noProof/>
              </w:rPr>
              <w:fldChar w:fldCharType="end"/>
            </w:r>
          </w:hyperlink>
        </w:p>
        <w:p w14:paraId="4E7D1D8B" w14:textId="77777777" w:rsidR="00DF09AA" w:rsidRDefault="00DF09AA">
          <w:pPr>
            <w:pStyle w:val="TOC2"/>
            <w:tabs>
              <w:tab w:val="right" w:leader="dot" w:pos="9710"/>
            </w:tabs>
            <w:rPr>
              <w:noProof/>
            </w:rPr>
          </w:pPr>
          <w:hyperlink w:anchor="_Toc239542908" w:history="1">
            <w:r w:rsidRPr="004D4697">
              <w:rPr>
                <w:rStyle w:val="Hyperlink"/>
                <w:noProof/>
              </w:rPr>
              <w:t>1.9 Common Mistakes — Why They Actually Matter</w:t>
            </w:r>
            <w:r>
              <w:rPr>
                <w:noProof/>
              </w:rPr>
              <w:tab/>
            </w:r>
            <w:r>
              <w:rPr>
                <w:noProof/>
              </w:rPr>
              <w:fldChar w:fldCharType="begin"/>
            </w:r>
            <w:r>
              <w:rPr>
                <w:noProof/>
              </w:rPr>
              <w:instrText xml:space="preserve"> PAGEREF _Toc239542908 \h </w:instrText>
            </w:r>
            <w:r>
              <w:rPr>
                <w:noProof/>
              </w:rPr>
            </w:r>
            <w:r>
              <w:rPr>
                <w:noProof/>
              </w:rPr>
              <w:fldChar w:fldCharType="separate"/>
            </w:r>
            <w:r>
              <w:rPr>
                <w:noProof/>
              </w:rPr>
              <w:t>1</w:t>
            </w:r>
            <w:r>
              <w:rPr>
                <w:noProof/>
              </w:rPr>
              <w:fldChar w:fldCharType="end"/>
            </w:r>
          </w:hyperlink>
        </w:p>
        <w:p w14:paraId="30E34AD1" w14:textId="77777777" w:rsidR="00DF09AA" w:rsidRDefault="00DF09AA">
          <w:pPr>
            <w:pStyle w:val="TOC2"/>
            <w:tabs>
              <w:tab w:val="right" w:leader="dot" w:pos="9710"/>
            </w:tabs>
            <w:rPr>
              <w:noProof/>
            </w:rPr>
          </w:pPr>
          <w:hyperlink w:anchor="_Toc239542909" w:history="1">
            <w:r w:rsidRPr="004D4697">
              <w:rPr>
                <w:rStyle w:val="Hyperlink"/>
                <w:noProof/>
              </w:rPr>
              <w:t>1.10 Professional Applications</w:t>
            </w:r>
            <w:r>
              <w:rPr>
                <w:noProof/>
              </w:rPr>
              <w:tab/>
            </w:r>
            <w:r>
              <w:rPr>
                <w:noProof/>
              </w:rPr>
              <w:fldChar w:fldCharType="begin"/>
            </w:r>
            <w:r>
              <w:rPr>
                <w:noProof/>
              </w:rPr>
              <w:instrText xml:space="preserve"> PAGEREF _Toc239542909 \h </w:instrText>
            </w:r>
            <w:r>
              <w:rPr>
                <w:noProof/>
              </w:rPr>
            </w:r>
            <w:r>
              <w:rPr>
                <w:noProof/>
              </w:rPr>
              <w:fldChar w:fldCharType="separate"/>
            </w:r>
            <w:r>
              <w:rPr>
                <w:noProof/>
              </w:rPr>
              <w:t>1</w:t>
            </w:r>
            <w:r>
              <w:rPr>
                <w:noProof/>
              </w:rPr>
              <w:fldChar w:fldCharType="end"/>
            </w:r>
          </w:hyperlink>
        </w:p>
        <w:p w14:paraId="1ABA0E4B" w14:textId="77777777" w:rsidR="00DF09AA" w:rsidRDefault="00DF09AA">
          <w:pPr>
            <w:pStyle w:val="TOC1"/>
            <w:tabs>
              <w:tab w:val="right" w:leader="dot" w:pos="9710"/>
            </w:tabs>
            <w:rPr>
              <w:noProof/>
            </w:rPr>
          </w:pPr>
          <w:hyperlink w:anchor="_Toc239542910" w:history="1">
            <w:r w:rsidRPr="004D4697">
              <w:rPr>
                <w:rStyle w:val="Hyperlink"/>
                <w:noProof/>
              </w:rPr>
              <w:t>2. Asset Classes  (Level 1)</w:t>
            </w:r>
            <w:r>
              <w:rPr>
                <w:noProof/>
              </w:rPr>
              <w:tab/>
            </w:r>
            <w:r>
              <w:rPr>
                <w:noProof/>
              </w:rPr>
              <w:fldChar w:fldCharType="begin"/>
            </w:r>
            <w:r>
              <w:rPr>
                <w:noProof/>
              </w:rPr>
              <w:instrText xml:space="preserve"> PAGEREF _Toc239542910 \h </w:instrText>
            </w:r>
            <w:r>
              <w:rPr>
                <w:noProof/>
              </w:rPr>
            </w:r>
            <w:r>
              <w:rPr>
                <w:noProof/>
              </w:rPr>
              <w:fldChar w:fldCharType="separate"/>
            </w:r>
            <w:r>
              <w:rPr>
                <w:noProof/>
              </w:rPr>
              <w:t>1</w:t>
            </w:r>
            <w:r>
              <w:rPr>
                <w:noProof/>
              </w:rPr>
              <w:fldChar w:fldCharType="end"/>
            </w:r>
          </w:hyperlink>
        </w:p>
        <w:p w14:paraId="6EC308F8" w14:textId="77777777" w:rsidR="00DF09AA" w:rsidRDefault="00DF09AA">
          <w:pPr>
            <w:pStyle w:val="TOC2"/>
            <w:tabs>
              <w:tab w:val="right" w:leader="dot" w:pos="9710"/>
            </w:tabs>
            <w:rPr>
              <w:noProof/>
            </w:rPr>
          </w:pPr>
          <w:hyperlink w:anchor="_Toc239542911" w:history="1">
            <w:r w:rsidRPr="004D4697">
              <w:rPr>
                <w:rStyle w:val="Hyperlink"/>
                <w:noProof/>
              </w:rPr>
              <w:t>2.1 Learning Position at a Glance</w:t>
            </w:r>
            <w:r>
              <w:rPr>
                <w:noProof/>
              </w:rPr>
              <w:tab/>
            </w:r>
            <w:r>
              <w:rPr>
                <w:noProof/>
              </w:rPr>
              <w:fldChar w:fldCharType="begin"/>
            </w:r>
            <w:r>
              <w:rPr>
                <w:noProof/>
              </w:rPr>
              <w:instrText xml:space="preserve"> PAGEREF _Toc239542911 \h </w:instrText>
            </w:r>
            <w:r>
              <w:rPr>
                <w:noProof/>
              </w:rPr>
            </w:r>
            <w:r>
              <w:rPr>
                <w:noProof/>
              </w:rPr>
              <w:fldChar w:fldCharType="separate"/>
            </w:r>
            <w:r>
              <w:rPr>
                <w:noProof/>
              </w:rPr>
              <w:t>1</w:t>
            </w:r>
            <w:r>
              <w:rPr>
                <w:noProof/>
              </w:rPr>
              <w:fldChar w:fldCharType="end"/>
            </w:r>
          </w:hyperlink>
        </w:p>
        <w:p w14:paraId="4B3BF500" w14:textId="77777777" w:rsidR="00DF09AA" w:rsidRDefault="00DF09AA">
          <w:pPr>
            <w:pStyle w:val="TOC2"/>
            <w:tabs>
              <w:tab w:val="right" w:leader="dot" w:pos="9710"/>
            </w:tabs>
            <w:rPr>
              <w:noProof/>
            </w:rPr>
          </w:pPr>
          <w:hyperlink w:anchor="_Toc239542912" w:history="1">
            <w:r w:rsidRPr="004D4697">
              <w:rPr>
                <w:rStyle w:val="Hyperlink"/>
                <w:noProof/>
              </w:rPr>
              <w:t>2.2 The Asset Class Landscape</w:t>
            </w:r>
            <w:r>
              <w:rPr>
                <w:noProof/>
              </w:rPr>
              <w:tab/>
            </w:r>
            <w:r>
              <w:rPr>
                <w:noProof/>
              </w:rPr>
              <w:fldChar w:fldCharType="begin"/>
            </w:r>
            <w:r>
              <w:rPr>
                <w:noProof/>
              </w:rPr>
              <w:instrText xml:space="preserve"> PAGEREF _Toc239542912 \h </w:instrText>
            </w:r>
            <w:r>
              <w:rPr>
                <w:noProof/>
              </w:rPr>
            </w:r>
            <w:r>
              <w:rPr>
                <w:noProof/>
              </w:rPr>
              <w:fldChar w:fldCharType="separate"/>
            </w:r>
            <w:r>
              <w:rPr>
                <w:noProof/>
              </w:rPr>
              <w:t>1</w:t>
            </w:r>
            <w:r>
              <w:rPr>
                <w:noProof/>
              </w:rPr>
              <w:fldChar w:fldCharType="end"/>
            </w:r>
          </w:hyperlink>
        </w:p>
        <w:p w14:paraId="5632D1D9" w14:textId="77777777" w:rsidR="00DF09AA" w:rsidRDefault="00DF09AA">
          <w:pPr>
            <w:pStyle w:val="TOC2"/>
            <w:tabs>
              <w:tab w:val="right" w:leader="dot" w:pos="9710"/>
            </w:tabs>
            <w:rPr>
              <w:noProof/>
            </w:rPr>
          </w:pPr>
          <w:hyperlink w:anchor="_Toc239542913" w:history="1">
            <w:r w:rsidRPr="004D4697">
              <w:rPr>
                <w:rStyle w:val="Hyperlink"/>
                <w:noProof/>
              </w:rPr>
              <w:t>2.3 Reference Table — Model Answer to the Practical Exercise</w:t>
            </w:r>
            <w:r>
              <w:rPr>
                <w:noProof/>
              </w:rPr>
              <w:tab/>
            </w:r>
            <w:r>
              <w:rPr>
                <w:noProof/>
              </w:rPr>
              <w:fldChar w:fldCharType="begin"/>
            </w:r>
            <w:r>
              <w:rPr>
                <w:noProof/>
              </w:rPr>
              <w:instrText xml:space="preserve"> PAGEREF _Toc239542913 \h </w:instrText>
            </w:r>
            <w:r>
              <w:rPr>
                <w:noProof/>
              </w:rPr>
            </w:r>
            <w:r>
              <w:rPr>
                <w:noProof/>
              </w:rPr>
              <w:fldChar w:fldCharType="separate"/>
            </w:r>
            <w:r>
              <w:rPr>
                <w:noProof/>
              </w:rPr>
              <w:t>1</w:t>
            </w:r>
            <w:r>
              <w:rPr>
                <w:noProof/>
              </w:rPr>
              <w:fldChar w:fldCharType="end"/>
            </w:r>
          </w:hyperlink>
        </w:p>
        <w:p w14:paraId="76A94B4B" w14:textId="77777777" w:rsidR="00DF09AA" w:rsidRDefault="00DF09AA">
          <w:pPr>
            <w:pStyle w:val="TOC2"/>
            <w:tabs>
              <w:tab w:val="right" w:leader="dot" w:pos="9710"/>
            </w:tabs>
            <w:rPr>
              <w:noProof/>
            </w:rPr>
          </w:pPr>
          <w:hyperlink w:anchor="_Toc239542914" w:history="1">
            <w:r w:rsidRPr="004D4697">
              <w:rPr>
                <w:rStyle w:val="Hyperlink"/>
                <w:noProof/>
              </w:rPr>
              <w:t>2.4 Deep Dive: Bonds Quote and Move Differently From Equities</w:t>
            </w:r>
            <w:r>
              <w:rPr>
                <w:noProof/>
              </w:rPr>
              <w:tab/>
            </w:r>
            <w:r>
              <w:rPr>
                <w:noProof/>
              </w:rPr>
              <w:fldChar w:fldCharType="begin"/>
            </w:r>
            <w:r>
              <w:rPr>
                <w:noProof/>
              </w:rPr>
              <w:instrText xml:space="preserve"> PAGEREF _Toc239542914 \h </w:instrText>
            </w:r>
            <w:r>
              <w:rPr>
                <w:noProof/>
              </w:rPr>
            </w:r>
            <w:r>
              <w:rPr>
                <w:noProof/>
              </w:rPr>
              <w:fldChar w:fldCharType="separate"/>
            </w:r>
            <w:r>
              <w:rPr>
                <w:noProof/>
              </w:rPr>
              <w:t>1</w:t>
            </w:r>
            <w:r>
              <w:rPr>
                <w:noProof/>
              </w:rPr>
              <w:fldChar w:fldCharType="end"/>
            </w:r>
          </w:hyperlink>
        </w:p>
        <w:p w14:paraId="57BA77CD" w14:textId="77777777" w:rsidR="00DF09AA" w:rsidRDefault="00DF09AA">
          <w:pPr>
            <w:pStyle w:val="TOC2"/>
            <w:tabs>
              <w:tab w:val="right" w:leader="dot" w:pos="9710"/>
            </w:tabs>
            <w:rPr>
              <w:noProof/>
            </w:rPr>
          </w:pPr>
          <w:hyperlink w:anchor="_Toc239542915" w:history="1">
            <w:r w:rsidRPr="004D4697">
              <w:rPr>
                <w:rStyle w:val="Hyperlink"/>
                <w:noProof/>
              </w:rPr>
              <w:t>2.5 Deep Dive: Funding and Carry in Perpetual Futures and FX</w:t>
            </w:r>
            <w:r>
              <w:rPr>
                <w:noProof/>
              </w:rPr>
              <w:tab/>
            </w:r>
            <w:r>
              <w:rPr>
                <w:noProof/>
              </w:rPr>
              <w:fldChar w:fldCharType="begin"/>
            </w:r>
            <w:r>
              <w:rPr>
                <w:noProof/>
              </w:rPr>
              <w:instrText xml:space="preserve"> PAGEREF _Toc239542915 \h </w:instrText>
            </w:r>
            <w:r>
              <w:rPr>
                <w:noProof/>
              </w:rPr>
            </w:r>
            <w:r>
              <w:rPr>
                <w:noProof/>
              </w:rPr>
              <w:fldChar w:fldCharType="separate"/>
            </w:r>
            <w:r>
              <w:rPr>
                <w:noProof/>
              </w:rPr>
              <w:t>1</w:t>
            </w:r>
            <w:r>
              <w:rPr>
                <w:noProof/>
              </w:rPr>
              <w:fldChar w:fldCharType="end"/>
            </w:r>
          </w:hyperlink>
        </w:p>
        <w:p w14:paraId="2792E18B" w14:textId="77777777" w:rsidR="00DF09AA" w:rsidRDefault="00DF09AA">
          <w:pPr>
            <w:pStyle w:val="TOC2"/>
            <w:tabs>
              <w:tab w:val="right" w:leader="dot" w:pos="9710"/>
            </w:tabs>
            <w:rPr>
              <w:noProof/>
            </w:rPr>
          </w:pPr>
          <w:hyperlink w:anchor="_Toc239542916" w:history="1">
            <w:r w:rsidRPr="004D4697">
              <w:rPr>
                <w:rStyle w:val="Hyperlink"/>
                <w:noProof/>
              </w:rPr>
              <w:t>2.6 Common Mistakes — Deeper Look</w:t>
            </w:r>
            <w:r>
              <w:rPr>
                <w:noProof/>
              </w:rPr>
              <w:tab/>
            </w:r>
            <w:r>
              <w:rPr>
                <w:noProof/>
              </w:rPr>
              <w:fldChar w:fldCharType="begin"/>
            </w:r>
            <w:r>
              <w:rPr>
                <w:noProof/>
              </w:rPr>
              <w:instrText xml:space="preserve"> PAGEREF _Toc239542916 \h </w:instrText>
            </w:r>
            <w:r>
              <w:rPr>
                <w:noProof/>
              </w:rPr>
            </w:r>
            <w:r>
              <w:rPr>
                <w:noProof/>
              </w:rPr>
              <w:fldChar w:fldCharType="separate"/>
            </w:r>
            <w:r>
              <w:rPr>
                <w:noProof/>
              </w:rPr>
              <w:t>1</w:t>
            </w:r>
            <w:r>
              <w:rPr>
                <w:noProof/>
              </w:rPr>
              <w:fldChar w:fldCharType="end"/>
            </w:r>
          </w:hyperlink>
        </w:p>
        <w:p w14:paraId="48E364D1" w14:textId="77777777" w:rsidR="00DF09AA" w:rsidRDefault="00DF09AA">
          <w:pPr>
            <w:pStyle w:val="TOC2"/>
            <w:tabs>
              <w:tab w:val="right" w:leader="dot" w:pos="9710"/>
            </w:tabs>
            <w:rPr>
              <w:noProof/>
            </w:rPr>
          </w:pPr>
          <w:hyperlink w:anchor="_Toc239542917" w:history="1">
            <w:r w:rsidRPr="004D4697">
              <w:rPr>
                <w:rStyle w:val="Hyperlink"/>
                <w:noProof/>
              </w:rPr>
              <w:t>2.7 Professional Applications</w:t>
            </w:r>
            <w:r>
              <w:rPr>
                <w:noProof/>
              </w:rPr>
              <w:tab/>
            </w:r>
            <w:r>
              <w:rPr>
                <w:noProof/>
              </w:rPr>
              <w:fldChar w:fldCharType="begin"/>
            </w:r>
            <w:r>
              <w:rPr>
                <w:noProof/>
              </w:rPr>
              <w:instrText xml:space="preserve"> PAGEREF _Toc239542917 \h </w:instrText>
            </w:r>
            <w:r>
              <w:rPr>
                <w:noProof/>
              </w:rPr>
            </w:r>
            <w:r>
              <w:rPr>
                <w:noProof/>
              </w:rPr>
              <w:fldChar w:fldCharType="separate"/>
            </w:r>
            <w:r>
              <w:rPr>
                <w:noProof/>
              </w:rPr>
              <w:t>1</w:t>
            </w:r>
            <w:r>
              <w:rPr>
                <w:noProof/>
              </w:rPr>
              <w:fldChar w:fldCharType="end"/>
            </w:r>
          </w:hyperlink>
        </w:p>
        <w:p w14:paraId="569F7F2A" w14:textId="77777777" w:rsidR="00DF09AA" w:rsidRDefault="00DF09AA">
          <w:pPr>
            <w:pStyle w:val="TOC1"/>
            <w:tabs>
              <w:tab w:val="right" w:leader="dot" w:pos="9710"/>
            </w:tabs>
            <w:rPr>
              <w:noProof/>
            </w:rPr>
          </w:pPr>
          <w:hyperlink w:anchor="_Toc239542918" w:history="1">
            <w:r w:rsidRPr="004D4697">
              <w:rPr>
                <w:rStyle w:val="Hyperlink"/>
                <w:noProof/>
              </w:rPr>
              <w:t>3. Trading Mechanics  (Level 1)</w:t>
            </w:r>
            <w:r>
              <w:rPr>
                <w:noProof/>
              </w:rPr>
              <w:tab/>
            </w:r>
            <w:r>
              <w:rPr>
                <w:noProof/>
              </w:rPr>
              <w:fldChar w:fldCharType="begin"/>
            </w:r>
            <w:r>
              <w:rPr>
                <w:noProof/>
              </w:rPr>
              <w:instrText xml:space="preserve"> PAGEREF _Toc239542918 \h </w:instrText>
            </w:r>
            <w:r>
              <w:rPr>
                <w:noProof/>
              </w:rPr>
            </w:r>
            <w:r>
              <w:rPr>
                <w:noProof/>
              </w:rPr>
              <w:fldChar w:fldCharType="separate"/>
            </w:r>
            <w:r>
              <w:rPr>
                <w:noProof/>
              </w:rPr>
              <w:t>1</w:t>
            </w:r>
            <w:r>
              <w:rPr>
                <w:noProof/>
              </w:rPr>
              <w:fldChar w:fldCharType="end"/>
            </w:r>
          </w:hyperlink>
        </w:p>
        <w:p w14:paraId="3FDE54E9" w14:textId="77777777" w:rsidR="00DF09AA" w:rsidRDefault="00DF09AA">
          <w:pPr>
            <w:pStyle w:val="TOC2"/>
            <w:tabs>
              <w:tab w:val="right" w:leader="dot" w:pos="9710"/>
            </w:tabs>
            <w:rPr>
              <w:noProof/>
            </w:rPr>
          </w:pPr>
          <w:hyperlink w:anchor="_Toc239542919" w:history="1">
            <w:r w:rsidRPr="004D4697">
              <w:rPr>
                <w:rStyle w:val="Hyperlink"/>
                <w:noProof/>
              </w:rPr>
              <w:t>3.1 Learning Position at a Glance</w:t>
            </w:r>
            <w:r>
              <w:rPr>
                <w:noProof/>
              </w:rPr>
              <w:tab/>
            </w:r>
            <w:r>
              <w:rPr>
                <w:noProof/>
              </w:rPr>
              <w:fldChar w:fldCharType="begin"/>
            </w:r>
            <w:r>
              <w:rPr>
                <w:noProof/>
              </w:rPr>
              <w:instrText xml:space="preserve"> PAGEREF _Toc239542919 \h </w:instrText>
            </w:r>
            <w:r>
              <w:rPr>
                <w:noProof/>
              </w:rPr>
            </w:r>
            <w:r>
              <w:rPr>
                <w:noProof/>
              </w:rPr>
              <w:fldChar w:fldCharType="separate"/>
            </w:r>
            <w:r>
              <w:rPr>
                <w:noProof/>
              </w:rPr>
              <w:t>1</w:t>
            </w:r>
            <w:r>
              <w:rPr>
                <w:noProof/>
              </w:rPr>
              <w:fldChar w:fldCharType="end"/>
            </w:r>
          </w:hyperlink>
        </w:p>
        <w:p w14:paraId="4F6C42A3" w14:textId="77777777" w:rsidR="00DF09AA" w:rsidRDefault="00DF09AA">
          <w:pPr>
            <w:pStyle w:val="TOC2"/>
            <w:tabs>
              <w:tab w:val="right" w:leader="dot" w:pos="9710"/>
            </w:tabs>
            <w:rPr>
              <w:noProof/>
            </w:rPr>
          </w:pPr>
          <w:hyperlink w:anchor="_Toc239542920" w:history="1">
            <w:r w:rsidRPr="004D4697">
              <w:rPr>
                <w:rStyle w:val="Hyperlink"/>
                <w:noProof/>
              </w:rPr>
              <w:t>3.2 Core Vocabulary — Definitions, Formulas and Micro-Examples</w:t>
            </w:r>
            <w:r>
              <w:rPr>
                <w:noProof/>
              </w:rPr>
              <w:tab/>
            </w:r>
            <w:r>
              <w:rPr>
                <w:noProof/>
              </w:rPr>
              <w:fldChar w:fldCharType="begin"/>
            </w:r>
            <w:r>
              <w:rPr>
                <w:noProof/>
              </w:rPr>
              <w:instrText xml:space="preserve"> PAGEREF _Toc239542920 \h </w:instrText>
            </w:r>
            <w:r>
              <w:rPr>
                <w:noProof/>
              </w:rPr>
            </w:r>
            <w:r>
              <w:rPr>
                <w:noProof/>
              </w:rPr>
              <w:fldChar w:fldCharType="separate"/>
            </w:r>
            <w:r>
              <w:rPr>
                <w:noProof/>
              </w:rPr>
              <w:t>1</w:t>
            </w:r>
            <w:r>
              <w:rPr>
                <w:noProof/>
              </w:rPr>
              <w:fldChar w:fldCharType="end"/>
            </w:r>
          </w:hyperlink>
        </w:p>
        <w:p w14:paraId="074558CF" w14:textId="77777777" w:rsidR="00DF09AA" w:rsidRDefault="00DF09AA">
          <w:pPr>
            <w:pStyle w:val="TOC2"/>
            <w:tabs>
              <w:tab w:val="right" w:leader="dot" w:pos="9710"/>
            </w:tabs>
            <w:rPr>
              <w:noProof/>
            </w:rPr>
          </w:pPr>
          <w:hyperlink w:anchor="_Toc239542921" w:history="1">
            <w:r w:rsidRPr="004D4697">
              <w:rPr>
                <w:rStyle w:val="Hyperlink"/>
                <w:noProof/>
              </w:rPr>
              <w:t>3.3 Fully Worked Example — Leveraged Futures Position P&amp;L</w:t>
            </w:r>
            <w:r>
              <w:rPr>
                <w:noProof/>
              </w:rPr>
              <w:tab/>
            </w:r>
            <w:r>
              <w:rPr>
                <w:noProof/>
              </w:rPr>
              <w:fldChar w:fldCharType="begin"/>
            </w:r>
            <w:r>
              <w:rPr>
                <w:noProof/>
              </w:rPr>
              <w:instrText xml:space="preserve"> PAGEREF _Toc239542921 \h </w:instrText>
            </w:r>
            <w:r>
              <w:rPr>
                <w:noProof/>
              </w:rPr>
            </w:r>
            <w:r>
              <w:rPr>
                <w:noProof/>
              </w:rPr>
              <w:fldChar w:fldCharType="separate"/>
            </w:r>
            <w:r>
              <w:rPr>
                <w:noProof/>
              </w:rPr>
              <w:t>1</w:t>
            </w:r>
            <w:r>
              <w:rPr>
                <w:noProof/>
              </w:rPr>
              <w:fldChar w:fldCharType="end"/>
            </w:r>
          </w:hyperlink>
        </w:p>
        <w:p w14:paraId="0A6CBEC4" w14:textId="77777777" w:rsidR="00DF09AA" w:rsidRDefault="00DF09AA">
          <w:pPr>
            <w:pStyle w:val="TOC2"/>
            <w:tabs>
              <w:tab w:val="right" w:leader="dot" w:pos="9710"/>
            </w:tabs>
            <w:rPr>
              <w:noProof/>
            </w:rPr>
          </w:pPr>
          <w:hyperlink w:anchor="_Toc239542922" w:history="1">
            <w:r w:rsidRPr="004D4697">
              <w:rPr>
                <w:rStyle w:val="Hyperlink"/>
                <w:noProof/>
              </w:rPr>
              <w:t>3.4 Leverage and Margin Across Products</w:t>
            </w:r>
            <w:r>
              <w:rPr>
                <w:noProof/>
              </w:rPr>
              <w:tab/>
            </w:r>
            <w:r>
              <w:rPr>
                <w:noProof/>
              </w:rPr>
              <w:fldChar w:fldCharType="begin"/>
            </w:r>
            <w:r>
              <w:rPr>
                <w:noProof/>
              </w:rPr>
              <w:instrText xml:space="preserve"> PAGEREF _Toc239542922 \h </w:instrText>
            </w:r>
            <w:r>
              <w:rPr>
                <w:noProof/>
              </w:rPr>
            </w:r>
            <w:r>
              <w:rPr>
                <w:noProof/>
              </w:rPr>
              <w:fldChar w:fldCharType="separate"/>
            </w:r>
            <w:r>
              <w:rPr>
                <w:noProof/>
              </w:rPr>
              <w:t>1</w:t>
            </w:r>
            <w:r>
              <w:rPr>
                <w:noProof/>
              </w:rPr>
              <w:fldChar w:fldCharType="end"/>
            </w:r>
          </w:hyperlink>
        </w:p>
        <w:p w14:paraId="08DF1636" w14:textId="77777777" w:rsidR="00DF09AA" w:rsidRDefault="00DF09AA">
          <w:pPr>
            <w:pStyle w:val="TOC2"/>
            <w:tabs>
              <w:tab w:val="right" w:leader="dot" w:pos="9710"/>
            </w:tabs>
            <w:rPr>
              <w:noProof/>
            </w:rPr>
          </w:pPr>
          <w:hyperlink w:anchor="_Toc239542923" w:history="1">
            <w:r w:rsidRPr="004D4697">
              <w:rPr>
                <w:rStyle w:val="Hyperlink"/>
                <w:noProof/>
              </w:rPr>
              <w:t>3.5 The Bid-Ask Spread: The Cost Beginners Forget</w:t>
            </w:r>
            <w:r>
              <w:rPr>
                <w:noProof/>
              </w:rPr>
              <w:tab/>
            </w:r>
            <w:r>
              <w:rPr>
                <w:noProof/>
              </w:rPr>
              <w:fldChar w:fldCharType="begin"/>
            </w:r>
            <w:r>
              <w:rPr>
                <w:noProof/>
              </w:rPr>
              <w:instrText xml:space="preserve"> PAGEREF _Toc239542923 \h </w:instrText>
            </w:r>
            <w:r>
              <w:rPr>
                <w:noProof/>
              </w:rPr>
            </w:r>
            <w:r>
              <w:rPr>
                <w:noProof/>
              </w:rPr>
              <w:fldChar w:fldCharType="separate"/>
            </w:r>
            <w:r>
              <w:rPr>
                <w:noProof/>
              </w:rPr>
              <w:t>1</w:t>
            </w:r>
            <w:r>
              <w:rPr>
                <w:noProof/>
              </w:rPr>
              <w:fldChar w:fldCharType="end"/>
            </w:r>
          </w:hyperlink>
        </w:p>
        <w:p w14:paraId="7163C126" w14:textId="77777777" w:rsidR="00DF09AA" w:rsidRDefault="00DF09AA">
          <w:pPr>
            <w:pStyle w:val="TOC2"/>
            <w:tabs>
              <w:tab w:val="right" w:leader="dot" w:pos="9710"/>
            </w:tabs>
            <w:rPr>
              <w:noProof/>
            </w:rPr>
          </w:pPr>
          <w:hyperlink w:anchor="_Toc239542924" w:history="1">
            <w:r w:rsidRPr="004D4697">
              <w:rPr>
                <w:rStyle w:val="Hyperlink"/>
                <w:noProof/>
              </w:rPr>
              <w:t>3.6 Funding, Carry and Basis — Worked Examples</w:t>
            </w:r>
            <w:r>
              <w:rPr>
                <w:noProof/>
              </w:rPr>
              <w:tab/>
            </w:r>
            <w:r>
              <w:rPr>
                <w:noProof/>
              </w:rPr>
              <w:fldChar w:fldCharType="begin"/>
            </w:r>
            <w:r>
              <w:rPr>
                <w:noProof/>
              </w:rPr>
              <w:instrText xml:space="preserve"> PAGEREF _Toc239542924 \h </w:instrText>
            </w:r>
            <w:r>
              <w:rPr>
                <w:noProof/>
              </w:rPr>
            </w:r>
            <w:r>
              <w:rPr>
                <w:noProof/>
              </w:rPr>
              <w:fldChar w:fldCharType="separate"/>
            </w:r>
            <w:r>
              <w:rPr>
                <w:noProof/>
              </w:rPr>
              <w:t>1</w:t>
            </w:r>
            <w:r>
              <w:rPr>
                <w:noProof/>
              </w:rPr>
              <w:fldChar w:fldCharType="end"/>
            </w:r>
          </w:hyperlink>
        </w:p>
        <w:p w14:paraId="1AF5BD1A" w14:textId="77777777" w:rsidR="00DF09AA" w:rsidRDefault="00DF09AA">
          <w:pPr>
            <w:pStyle w:val="TOC2"/>
            <w:tabs>
              <w:tab w:val="right" w:leader="dot" w:pos="9710"/>
            </w:tabs>
            <w:rPr>
              <w:noProof/>
            </w:rPr>
          </w:pPr>
          <w:hyperlink w:anchor="_Toc239542925" w:history="1">
            <w:r w:rsidRPr="004D4697">
              <w:rPr>
                <w:rStyle w:val="Hyperlink"/>
                <w:noProof/>
              </w:rPr>
              <w:t>3.7 Common Mistakes — Deeper Look</w:t>
            </w:r>
            <w:r>
              <w:rPr>
                <w:noProof/>
              </w:rPr>
              <w:tab/>
            </w:r>
            <w:r>
              <w:rPr>
                <w:noProof/>
              </w:rPr>
              <w:fldChar w:fldCharType="begin"/>
            </w:r>
            <w:r>
              <w:rPr>
                <w:noProof/>
              </w:rPr>
              <w:instrText xml:space="preserve"> PAGEREF _Toc239542925 \h </w:instrText>
            </w:r>
            <w:r>
              <w:rPr>
                <w:noProof/>
              </w:rPr>
            </w:r>
            <w:r>
              <w:rPr>
                <w:noProof/>
              </w:rPr>
              <w:fldChar w:fldCharType="separate"/>
            </w:r>
            <w:r>
              <w:rPr>
                <w:noProof/>
              </w:rPr>
              <w:t>1</w:t>
            </w:r>
            <w:r>
              <w:rPr>
                <w:noProof/>
              </w:rPr>
              <w:fldChar w:fldCharType="end"/>
            </w:r>
          </w:hyperlink>
        </w:p>
        <w:p w14:paraId="6064504E" w14:textId="77777777" w:rsidR="00DF09AA" w:rsidRDefault="00DF09AA">
          <w:pPr>
            <w:pStyle w:val="TOC2"/>
            <w:tabs>
              <w:tab w:val="right" w:leader="dot" w:pos="9710"/>
            </w:tabs>
            <w:rPr>
              <w:noProof/>
            </w:rPr>
          </w:pPr>
          <w:hyperlink w:anchor="_Toc239542926" w:history="1">
            <w:r w:rsidRPr="004D4697">
              <w:rPr>
                <w:rStyle w:val="Hyperlink"/>
                <w:noProof/>
              </w:rPr>
              <w:t>3.8 Professional Applications</w:t>
            </w:r>
            <w:r>
              <w:rPr>
                <w:noProof/>
              </w:rPr>
              <w:tab/>
            </w:r>
            <w:r>
              <w:rPr>
                <w:noProof/>
              </w:rPr>
              <w:fldChar w:fldCharType="begin"/>
            </w:r>
            <w:r>
              <w:rPr>
                <w:noProof/>
              </w:rPr>
              <w:instrText xml:space="preserve"> PAGEREF _Toc239542926 \h </w:instrText>
            </w:r>
            <w:r>
              <w:rPr>
                <w:noProof/>
              </w:rPr>
            </w:r>
            <w:r>
              <w:rPr>
                <w:noProof/>
              </w:rPr>
              <w:fldChar w:fldCharType="separate"/>
            </w:r>
            <w:r>
              <w:rPr>
                <w:noProof/>
              </w:rPr>
              <w:t>1</w:t>
            </w:r>
            <w:r>
              <w:rPr>
                <w:noProof/>
              </w:rPr>
              <w:fldChar w:fldCharType="end"/>
            </w:r>
          </w:hyperlink>
        </w:p>
        <w:p w14:paraId="0369B394" w14:textId="77777777" w:rsidR="00EE18AE" w:rsidRDefault="00000000">
          <w:r>
            <w:fldChar w:fldCharType="end"/>
          </w:r>
        </w:p>
      </w:sdtContent>
    </w:sdt>
    <w:p w14:paraId="091AF62F" w14:textId="77777777" w:rsidR="00EE18AE" w:rsidRDefault="00000000">
      <w:r>
        <w:br w:type="page"/>
      </w:r>
    </w:p>
    <w:p w14:paraId="2A5955F3" w14:textId="77777777" w:rsidR="00EE18AE" w:rsidRDefault="00000000">
      <w:pPr>
        <w:pStyle w:val="Heading1"/>
        <w:pageBreakBefore/>
        <w:spacing w:after="200"/>
      </w:pPr>
      <w:bookmarkStart w:id="1" w:name="_Toc239542896"/>
      <w:r>
        <w:lastRenderedPageBreak/>
        <w:t>1. Financial Market Structure  (Level 1)</w:t>
      </w:r>
      <w:bookmarkEnd w:id="1"/>
    </w:p>
    <w:p w14:paraId="40431B00" w14:textId="77777777" w:rsidR="00EE18AE" w:rsidRDefault="00000000">
      <w:pPr>
        <w:spacing w:after="160"/>
      </w:pPr>
      <w:r>
        <w:rPr>
          <w:b/>
          <w:bCs/>
          <w:sz w:val="20"/>
          <w:szCs w:val="20"/>
        </w:rPr>
        <w:t xml:space="preserve">Covers: </w:t>
      </w:r>
      <w:r>
        <w:rPr>
          <w:i/>
          <w:iCs/>
          <w:sz w:val="20"/>
          <w:szCs w:val="20"/>
        </w:rPr>
        <w:t>Exchanges · OTC markets · primary/secondary markets · brokers/dealers · prime brokers · clearing houses · settlement · custodians · CCPs · electronic venues</w:t>
      </w:r>
    </w:p>
    <w:p w14:paraId="696FB307" w14:textId="77777777" w:rsidR="00EE18AE" w:rsidRDefault="00000000">
      <w:pPr>
        <w:pStyle w:val="Heading2"/>
        <w:spacing w:before="260"/>
      </w:pPr>
      <w:bookmarkStart w:id="2" w:name="_Toc239542897"/>
      <w:r>
        <w:t>1.1 Learning Position at a Glance</w:t>
      </w:r>
      <w:bookmarkEnd w:id="2"/>
    </w:p>
    <w:p w14:paraId="7D340030" w14:textId="77777777" w:rsidR="00EE18AE" w:rsidRDefault="00000000">
      <w:pPr>
        <w:pStyle w:val="ListParagraph"/>
        <w:numPr>
          <w:ilvl w:val="0"/>
          <w:numId w:val="2"/>
        </w:numPr>
        <w:spacing w:after="40"/>
      </w:pPr>
      <w:r>
        <w:rPr>
          <w:b/>
          <w:bCs/>
          <w:sz w:val="20"/>
          <w:szCs w:val="20"/>
        </w:rPr>
        <w:t xml:space="preserve">What it is: </w:t>
      </w:r>
      <w:r>
        <w:rPr>
          <w:sz w:val="20"/>
          <w:szCs w:val="20"/>
        </w:rPr>
        <w:t>The plumbing of financial markets — who trades with whom, where, and how a trade becomes a settled position.</w:t>
      </w:r>
    </w:p>
    <w:p w14:paraId="4EF819D0" w14:textId="77777777" w:rsidR="00EE18AE" w:rsidRDefault="00000000">
      <w:pPr>
        <w:pStyle w:val="ListParagraph"/>
        <w:numPr>
          <w:ilvl w:val="0"/>
          <w:numId w:val="2"/>
        </w:numPr>
        <w:spacing w:after="40"/>
      </w:pPr>
      <w:r>
        <w:rPr>
          <w:b/>
          <w:bCs/>
          <w:sz w:val="20"/>
          <w:szCs w:val="20"/>
        </w:rPr>
        <w:t xml:space="preserve">Why it matters: </w:t>
      </w:r>
      <w:r>
        <w:rPr>
          <w:sz w:val="20"/>
          <w:szCs w:val="20"/>
        </w:rPr>
        <w:t>Every later topic (execution, microstructure, risk) assumes you know where and how trades actually happen.</w:t>
      </w:r>
    </w:p>
    <w:p w14:paraId="1F031B74" w14:textId="77777777" w:rsidR="00EE18AE" w:rsidRDefault="00000000">
      <w:pPr>
        <w:pStyle w:val="ListParagraph"/>
        <w:numPr>
          <w:ilvl w:val="0"/>
          <w:numId w:val="2"/>
        </w:numPr>
        <w:spacing w:after="40"/>
      </w:pPr>
      <w:r>
        <w:rPr>
          <w:b/>
          <w:bCs/>
          <w:sz w:val="20"/>
          <w:szCs w:val="20"/>
        </w:rPr>
        <w:t xml:space="preserve">Prerequisites: </w:t>
      </w:r>
      <w:r>
        <w:rPr>
          <w:sz w:val="20"/>
          <w:szCs w:val="20"/>
        </w:rPr>
        <w:t>None.</w:t>
      </w:r>
    </w:p>
    <w:p w14:paraId="5540F147" w14:textId="77777777" w:rsidR="00EE18AE" w:rsidRDefault="00000000">
      <w:pPr>
        <w:pStyle w:val="ListParagraph"/>
        <w:numPr>
          <w:ilvl w:val="0"/>
          <w:numId w:val="2"/>
        </w:numPr>
        <w:spacing w:after="40"/>
      </w:pPr>
      <w:r>
        <w:rPr>
          <w:b/>
          <w:bCs/>
          <w:sz w:val="20"/>
          <w:szCs w:val="20"/>
        </w:rPr>
        <w:t xml:space="preserve">Connects to Research: </w:t>
      </w:r>
      <w:r>
        <w:rPr>
          <w:sz w:val="20"/>
          <w:szCs w:val="20"/>
        </w:rPr>
        <w:t>Determines what data is available and how clean/complete it will be (exchange-traded vs OTC).</w:t>
      </w:r>
    </w:p>
    <w:p w14:paraId="37751D37" w14:textId="77777777" w:rsidR="00EE18AE" w:rsidRDefault="00000000">
      <w:pPr>
        <w:pStyle w:val="ListParagraph"/>
        <w:numPr>
          <w:ilvl w:val="0"/>
          <w:numId w:val="2"/>
        </w:numPr>
        <w:spacing w:after="40"/>
      </w:pPr>
      <w:r>
        <w:rPr>
          <w:b/>
          <w:bCs/>
          <w:sz w:val="20"/>
          <w:szCs w:val="20"/>
        </w:rPr>
        <w:t xml:space="preserve">Connects to Development: </w:t>
      </w:r>
      <w:r>
        <w:rPr>
          <w:sz w:val="20"/>
          <w:szCs w:val="20"/>
        </w:rPr>
        <w:t>Determines what APIs and data feeds you will integrate with, and what settlement/clearing constraints a system must respect.</w:t>
      </w:r>
    </w:p>
    <w:p w14:paraId="22EE9A74" w14:textId="77777777" w:rsidR="00EE18AE" w:rsidRDefault="00000000">
      <w:pPr>
        <w:pStyle w:val="ListParagraph"/>
        <w:numPr>
          <w:ilvl w:val="0"/>
          <w:numId w:val="2"/>
        </w:numPr>
        <w:spacing w:after="40"/>
      </w:pPr>
      <w:r>
        <w:rPr>
          <w:b/>
          <w:bCs/>
          <w:sz w:val="20"/>
          <w:szCs w:val="20"/>
        </w:rPr>
        <w:t xml:space="preserve">Connects to Trading: </w:t>
      </w:r>
      <w:r>
        <w:rPr>
          <w:sz w:val="20"/>
          <w:szCs w:val="20"/>
        </w:rPr>
        <w:t>Determines counterparty risk, settlement timing, and which venues a strategy can actually access.</w:t>
      </w:r>
    </w:p>
    <w:p w14:paraId="36A814F4" w14:textId="77777777" w:rsidR="00EE18AE" w:rsidRDefault="00000000">
      <w:pPr>
        <w:pStyle w:val="ListParagraph"/>
        <w:numPr>
          <w:ilvl w:val="0"/>
          <w:numId w:val="2"/>
        </w:numPr>
        <w:spacing w:after="40"/>
      </w:pPr>
      <w:r>
        <w:rPr>
          <w:b/>
          <w:bCs/>
          <w:sz w:val="20"/>
          <w:szCs w:val="20"/>
        </w:rPr>
        <w:t xml:space="preserve">Practical exercise: </w:t>
      </w:r>
      <w:r>
        <w:rPr>
          <w:sz w:val="20"/>
          <w:szCs w:val="20"/>
        </w:rPr>
        <w:t>Write a one-page comparison of how a trade in a listed equity, an OTC FX forward, and a centrally-cleared future differs from order placement to settlement. (A full model answer is worked through in §1.7.)</w:t>
      </w:r>
    </w:p>
    <w:p w14:paraId="6938B30C" w14:textId="77777777" w:rsidR="00EE18AE" w:rsidRDefault="00000000">
      <w:pPr>
        <w:pStyle w:val="ListParagraph"/>
        <w:numPr>
          <w:ilvl w:val="0"/>
          <w:numId w:val="2"/>
        </w:numPr>
        <w:spacing w:after="40"/>
      </w:pPr>
      <w:r>
        <w:rPr>
          <w:b/>
          <w:bCs/>
          <w:sz w:val="20"/>
          <w:szCs w:val="20"/>
        </w:rPr>
        <w:t xml:space="preserve">Common beginner mistakes: </w:t>
      </w:r>
    </w:p>
    <w:p w14:paraId="3F39CE78" w14:textId="77777777" w:rsidR="00EE18AE" w:rsidRDefault="00000000">
      <w:pPr>
        <w:pStyle w:val="ListParagraph"/>
        <w:numPr>
          <w:ilvl w:val="1"/>
          <w:numId w:val="2"/>
        </w:numPr>
        <w:spacing w:after="40"/>
      </w:pPr>
      <w:r>
        <w:rPr>
          <w:sz w:val="20"/>
          <w:szCs w:val="20"/>
        </w:rPr>
        <w:t>Assuming all markets are as transparent and liquid as listed equities.</w:t>
      </w:r>
    </w:p>
    <w:p w14:paraId="27B295C8" w14:textId="77777777" w:rsidR="00EE18AE" w:rsidRDefault="00000000">
      <w:pPr>
        <w:pStyle w:val="ListParagraph"/>
        <w:numPr>
          <w:ilvl w:val="1"/>
          <w:numId w:val="2"/>
        </w:numPr>
        <w:spacing w:after="40"/>
      </w:pPr>
      <w:r>
        <w:rPr>
          <w:sz w:val="20"/>
          <w:szCs w:val="20"/>
        </w:rPr>
        <w:t>Ignoring settlement/clearing timelines when reasoning about risk.</w:t>
      </w:r>
    </w:p>
    <w:p w14:paraId="0928D860" w14:textId="77777777" w:rsidR="00EE18AE" w:rsidRDefault="00000000">
      <w:pPr>
        <w:pStyle w:val="ListParagraph"/>
        <w:numPr>
          <w:ilvl w:val="0"/>
          <w:numId w:val="2"/>
        </w:numPr>
        <w:spacing w:after="40"/>
      </w:pPr>
      <w:r>
        <w:rPr>
          <w:b/>
          <w:bCs/>
          <w:sz w:val="20"/>
          <w:szCs w:val="20"/>
        </w:rPr>
        <w:t xml:space="preserve">Advanced extensions: </w:t>
      </w:r>
      <w:r>
        <w:rPr>
          <w:sz w:val="20"/>
          <w:szCs w:val="20"/>
        </w:rPr>
        <w:t>Central clearing mandates post-2008 reform, cross-margining, and venue fragmentation.</w:t>
      </w:r>
    </w:p>
    <w:p w14:paraId="7F018F9F" w14:textId="77777777" w:rsidR="00EE18AE" w:rsidRDefault="00000000">
      <w:pPr>
        <w:pStyle w:val="ListParagraph"/>
        <w:numPr>
          <w:ilvl w:val="0"/>
          <w:numId w:val="2"/>
        </w:numPr>
        <w:spacing w:after="40"/>
      </w:pPr>
      <w:r>
        <w:rPr>
          <w:b/>
          <w:bCs/>
          <w:sz w:val="20"/>
          <w:szCs w:val="20"/>
        </w:rPr>
        <w:t xml:space="preserve">Professional applications: </w:t>
      </w:r>
      <w:r>
        <w:rPr>
          <w:sz w:val="20"/>
          <w:szCs w:val="20"/>
        </w:rPr>
        <w:t>Venue selection for execution algorithms; counterparty risk assessment; regulatory reporting.</w:t>
      </w:r>
    </w:p>
    <w:p w14:paraId="79EFC22A" w14:textId="77777777" w:rsidR="00EE18AE" w:rsidRDefault="00000000">
      <w:pPr>
        <w:pStyle w:val="Heading2"/>
        <w:spacing w:before="260"/>
      </w:pPr>
      <w:bookmarkStart w:id="3" w:name="_Toc239542898"/>
      <w:r>
        <w:t>1.2 The Structure of Financial Markets</w:t>
      </w:r>
      <w:bookmarkEnd w:id="3"/>
    </w:p>
    <w:p w14:paraId="7DF8CBC0" w14:textId="77777777" w:rsidR="00EE18AE" w:rsidRDefault="00000000">
      <w:pPr>
        <w:spacing w:after="120"/>
      </w:pPr>
      <w:r>
        <w:t>A financial market is not a single place — it is a layered system of participants, intermediaries, venues and post-trade infrastructure. Understanding this layering is what lets you answer questions like “who actually bears the risk if my counterparty defaults?” and “why does my broker route my order somewhere I didn't choose?” The diagram below traces a trade from the initiating investor down to a settled, custodied position.</w:t>
      </w:r>
    </w:p>
    <w:p w14:paraId="4CAD86C0" w14:textId="77777777" w:rsidR="00EE18AE" w:rsidRDefault="00000000">
      <w:pPr>
        <w:spacing w:before="120" w:after="80"/>
        <w:jc w:val="center"/>
      </w:pPr>
      <w:r>
        <w:rPr>
          <w:noProof/>
        </w:rPr>
        <w:lastRenderedPageBreak/>
        <w:drawing>
          <wp:inline distT="0" distB="0" distL="0" distR="0" wp14:anchorId="13F9CEA0" wp14:editId="71788DB7">
            <wp:extent cx="5848350" cy="4533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848350" cy="4533900"/>
                    </a:xfrm>
                    <a:prstGeom prst="rect">
                      <a:avLst/>
                    </a:prstGeom>
                  </pic:spPr>
                </pic:pic>
              </a:graphicData>
            </a:graphic>
          </wp:inline>
        </w:drawing>
      </w:r>
    </w:p>
    <w:p w14:paraId="38175349" w14:textId="77777777" w:rsidR="00EE18AE" w:rsidRDefault="00000000">
      <w:pPr>
        <w:spacing w:after="200"/>
        <w:jc w:val="center"/>
      </w:pPr>
      <w:r>
        <w:rPr>
          <w:i/>
          <w:iCs/>
          <w:color w:val="595959"/>
          <w:sz w:val="17"/>
          <w:szCs w:val="17"/>
        </w:rPr>
        <w:t>Figure 1.1 — The five layers of financial market structure: participants, intermediaries, trading venues, clearing/counterparty-risk management, and settlement/custody. Dashed arrows show alternative routing (e.g. a prime broker “giving up” a trade to another executing broker, or bilateral OTC clearing that never touches a CCP).</w:t>
      </w:r>
    </w:p>
    <w:p w14:paraId="71E2E1B2" w14:textId="77777777" w:rsidR="00EE18AE" w:rsidRDefault="00000000">
      <w:pPr>
        <w:pStyle w:val="Heading3"/>
      </w:pPr>
      <w:bookmarkStart w:id="4" w:name="_Toc239542899"/>
      <w:r>
        <w:t>Exchanges vs OTC Markets vs ATSs</w:t>
      </w:r>
      <w:bookmarkEnd w:id="4"/>
    </w:p>
    <w:p w14:paraId="27F96320" w14:textId="77777777" w:rsidR="00EE18AE" w:rsidRDefault="00000000">
      <w:pPr>
        <w:pStyle w:val="ListParagraph"/>
        <w:numPr>
          <w:ilvl w:val="0"/>
          <w:numId w:val="2"/>
        </w:numPr>
        <w:spacing w:after="40"/>
      </w:pPr>
      <w:r>
        <w:rPr>
          <w:b/>
          <w:bCs/>
          <w:sz w:val="20"/>
          <w:szCs w:val="20"/>
        </w:rPr>
        <w:t xml:space="preserve">Exchanges: </w:t>
      </w:r>
      <w:r>
        <w:rPr>
          <w:sz w:val="20"/>
          <w:szCs w:val="20"/>
        </w:rPr>
        <w:t>Centralised, regulated venues (NYSE, LSE, CME, Deutsche Börse) with a public, rule-based limit order book. Prices and, in most jurisdictions, post-trade volumes are publicly disseminated in real time. Listing standards and market surveillance apply.</w:t>
      </w:r>
    </w:p>
    <w:p w14:paraId="255C8709" w14:textId="77777777" w:rsidR="00EE18AE" w:rsidRDefault="00000000">
      <w:pPr>
        <w:pStyle w:val="ListParagraph"/>
        <w:numPr>
          <w:ilvl w:val="0"/>
          <w:numId w:val="2"/>
        </w:numPr>
        <w:spacing w:after="40"/>
      </w:pPr>
      <w:r>
        <w:rPr>
          <w:b/>
          <w:bCs/>
          <w:sz w:val="20"/>
          <w:szCs w:val="20"/>
        </w:rPr>
        <w:t xml:space="preserve">Alternative Trading Systems (ATSs) / dark pools: </w:t>
      </w:r>
      <w:r>
        <w:rPr>
          <w:sz w:val="20"/>
          <w:szCs w:val="20"/>
        </w:rPr>
        <w:t>Off-exchange, typically non-displayed (“dark”) venues that match orders without showing a public quote before execution, aiming to reduce market impact for large orders. Post-trade reporting is still generally required, but pre-trade transparency is deliberately limited.</w:t>
      </w:r>
    </w:p>
    <w:p w14:paraId="69B537E3" w14:textId="77777777" w:rsidR="00EE18AE" w:rsidRDefault="00000000">
      <w:pPr>
        <w:pStyle w:val="ListParagraph"/>
        <w:numPr>
          <w:ilvl w:val="0"/>
          <w:numId w:val="2"/>
        </w:numPr>
        <w:spacing w:after="40"/>
      </w:pPr>
      <w:r>
        <w:rPr>
          <w:b/>
          <w:bCs/>
          <w:sz w:val="20"/>
          <w:szCs w:val="20"/>
        </w:rPr>
        <w:t xml:space="preserve">OTC (over-the-counter) markets: </w:t>
      </w:r>
      <w:r>
        <w:rPr>
          <w:sz w:val="20"/>
          <w:szCs w:val="20"/>
        </w:rPr>
        <w:t>No central venue at all — participants trade bilaterally, typically through a dealer who quotes a price on request (RFQ). Most FX, most interest-rate swaps, and much of the corporate bond market trade this way. Price transparency depends entirely on how many dealers you query.</w:t>
      </w:r>
    </w:p>
    <w:p w14:paraId="682DF493" w14:textId="77777777" w:rsidR="00EE18AE" w:rsidRDefault="00000000">
      <w:pPr>
        <w:pStyle w:val="Heading3"/>
      </w:pPr>
      <w:bookmarkStart w:id="5" w:name="_Toc239542900"/>
      <w:r>
        <w:t>Primary vs Secondary Markets</w:t>
      </w:r>
      <w:bookmarkEnd w:id="5"/>
    </w:p>
    <w:p w14:paraId="460CA7EF" w14:textId="77777777" w:rsidR="00EE18AE" w:rsidRDefault="00000000">
      <w:pPr>
        <w:pStyle w:val="ListParagraph"/>
        <w:numPr>
          <w:ilvl w:val="0"/>
          <w:numId w:val="2"/>
        </w:numPr>
        <w:spacing w:after="40"/>
      </w:pPr>
      <w:r>
        <w:rPr>
          <w:b/>
          <w:bCs/>
          <w:sz w:val="20"/>
          <w:szCs w:val="20"/>
        </w:rPr>
        <w:t xml:space="preserve">Primary market: </w:t>
      </w:r>
      <w:r>
        <w:rPr>
          <w:sz w:val="20"/>
          <w:szCs w:val="20"/>
        </w:rPr>
        <w:t>Where a security is created and sold for the first time — an IPO, a bond issuance, a follow-on equity offering. The issuer receives the proceeds.</w:t>
      </w:r>
    </w:p>
    <w:p w14:paraId="6E935151" w14:textId="77777777" w:rsidR="00EE18AE" w:rsidRDefault="00000000">
      <w:pPr>
        <w:pStyle w:val="ListParagraph"/>
        <w:numPr>
          <w:ilvl w:val="0"/>
          <w:numId w:val="2"/>
        </w:numPr>
        <w:spacing w:after="40"/>
      </w:pPr>
      <w:r>
        <w:rPr>
          <w:b/>
          <w:bCs/>
          <w:sz w:val="20"/>
          <w:szCs w:val="20"/>
        </w:rPr>
        <w:t xml:space="preserve">Secondary market: </w:t>
      </w:r>
      <w:r>
        <w:rPr>
          <w:sz w:val="20"/>
          <w:szCs w:val="20"/>
        </w:rPr>
        <w:t>Where previously-issued securities trade between investors — the issuer is not a party to the trade and receives no proceeds. Essentially all day-to-day trading discussed in this curriculum happens in the secondary market.</w:t>
      </w:r>
    </w:p>
    <w:p w14:paraId="24A373EF" w14:textId="77777777" w:rsidR="00EE18AE" w:rsidRDefault="00000000">
      <w:pPr>
        <w:pStyle w:val="Heading2"/>
        <w:spacing w:before="260"/>
      </w:pPr>
      <w:bookmarkStart w:id="6" w:name="_Toc239542901"/>
      <w:r>
        <w:t>1.3 Market Participants — Reference Table</w:t>
      </w:r>
      <w:bookmarkEnd w:id="6"/>
    </w:p>
    <w:p w14:paraId="2DA353B2" w14:textId="77777777" w:rsidR="00EE18AE" w:rsidRDefault="00000000">
      <w:pPr>
        <w:spacing w:after="120"/>
      </w:pPr>
      <w:r>
        <w:lastRenderedPageBreak/>
        <w:t>Each layer in Figure 1.1 is populated by a distinct type of institution with a distinct economic role and revenue model:</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900"/>
        <w:gridCol w:w="2900"/>
        <w:gridCol w:w="2260"/>
      </w:tblGrid>
      <w:tr w:rsidR="00EE18AE" w14:paraId="5F2EE6B3" w14:textId="77777777">
        <w:tblPrEx>
          <w:tblCellMar>
            <w:top w:w="0" w:type="dxa"/>
            <w:bottom w:w="0" w:type="dxa"/>
          </w:tblCellMar>
        </w:tblPrEx>
        <w:trPr>
          <w:tblHeader/>
        </w:trPr>
        <w:tc>
          <w:tcPr>
            <w:tcW w:w="1500" w:type="dxa"/>
            <w:shd w:val="clear" w:color="auto" w:fill="1F3864"/>
            <w:tcMar>
              <w:top w:w="60" w:type="dxa"/>
              <w:left w:w="100" w:type="dxa"/>
              <w:bottom w:w="60" w:type="dxa"/>
              <w:right w:w="100" w:type="dxa"/>
            </w:tcMar>
            <w:vAlign w:val="center"/>
          </w:tcPr>
          <w:p w14:paraId="6DCE8C28" w14:textId="77777777" w:rsidR="00EE18AE" w:rsidRDefault="00000000">
            <w:r>
              <w:rPr>
                <w:b/>
                <w:bCs/>
                <w:color w:val="FFFFFF"/>
                <w:sz w:val="19"/>
                <w:szCs w:val="19"/>
              </w:rPr>
              <w:t>Participant</w:t>
            </w:r>
          </w:p>
        </w:tc>
        <w:tc>
          <w:tcPr>
            <w:tcW w:w="2900" w:type="dxa"/>
            <w:shd w:val="clear" w:color="auto" w:fill="1F3864"/>
            <w:tcMar>
              <w:top w:w="60" w:type="dxa"/>
              <w:left w:w="100" w:type="dxa"/>
              <w:bottom w:w="60" w:type="dxa"/>
              <w:right w:w="100" w:type="dxa"/>
            </w:tcMar>
            <w:vAlign w:val="center"/>
          </w:tcPr>
          <w:p w14:paraId="27E3D916" w14:textId="77777777" w:rsidR="00EE18AE" w:rsidRDefault="00000000">
            <w:r>
              <w:rPr>
                <w:b/>
                <w:bCs/>
                <w:color w:val="FFFFFF"/>
                <w:sz w:val="19"/>
                <w:szCs w:val="19"/>
              </w:rPr>
              <w:t>Primary Role</w:t>
            </w:r>
          </w:p>
        </w:tc>
        <w:tc>
          <w:tcPr>
            <w:tcW w:w="2900" w:type="dxa"/>
            <w:shd w:val="clear" w:color="auto" w:fill="1F3864"/>
            <w:tcMar>
              <w:top w:w="60" w:type="dxa"/>
              <w:left w:w="100" w:type="dxa"/>
              <w:bottom w:w="60" w:type="dxa"/>
              <w:right w:w="100" w:type="dxa"/>
            </w:tcMar>
            <w:vAlign w:val="center"/>
          </w:tcPr>
          <w:p w14:paraId="6B0BF2E3" w14:textId="77777777" w:rsidR="00EE18AE" w:rsidRDefault="00000000">
            <w:r>
              <w:rPr>
                <w:b/>
                <w:bCs/>
                <w:color w:val="FFFFFF"/>
                <w:sz w:val="19"/>
                <w:szCs w:val="19"/>
              </w:rPr>
              <w:t>How It Makes Money</w:t>
            </w:r>
          </w:p>
        </w:tc>
        <w:tc>
          <w:tcPr>
            <w:tcW w:w="2260" w:type="dxa"/>
            <w:shd w:val="clear" w:color="auto" w:fill="1F3864"/>
            <w:tcMar>
              <w:top w:w="60" w:type="dxa"/>
              <w:left w:w="100" w:type="dxa"/>
              <w:bottom w:w="60" w:type="dxa"/>
              <w:right w:w="100" w:type="dxa"/>
            </w:tcMar>
            <w:vAlign w:val="center"/>
          </w:tcPr>
          <w:p w14:paraId="4471DCC2" w14:textId="77777777" w:rsidR="00EE18AE" w:rsidRDefault="00000000">
            <w:r>
              <w:rPr>
                <w:b/>
                <w:bCs/>
                <w:color w:val="FFFFFF"/>
                <w:sz w:val="19"/>
                <w:szCs w:val="19"/>
              </w:rPr>
              <w:t>Example</w:t>
            </w:r>
          </w:p>
        </w:tc>
      </w:tr>
      <w:tr w:rsidR="00EE18AE" w14:paraId="4755E208" w14:textId="77777777">
        <w:tblPrEx>
          <w:tblCellMar>
            <w:top w:w="0" w:type="dxa"/>
            <w:bottom w:w="0" w:type="dxa"/>
          </w:tblCellMar>
        </w:tblPrEx>
        <w:tc>
          <w:tcPr>
            <w:tcW w:w="1500" w:type="dxa"/>
            <w:tcMar>
              <w:top w:w="60" w:type="dxa"/>
              <w:left w:w="100" w:type="dxa"/>
              <w:bottom w:w="60" w:type="dxa"/>
              <w:right w:w="100" w:type="dxa"/>
            </w:tcMar>
            <w:vAlign w:val="center"/>
          </w:tcPr>
          <w:p w14:paraId="25555445" w14:textId="77777777" w:rsidR="00EE18AE" w:rsidRDefault="00000000">
            <w:r>
              <w:rPr>
                <w:sz w:val="19"/>
                <w:szCs w:val="19"/>
              </w:rPr>
              <w:t>Broker</w:t>
            </w:r>
          </w:p>
        </w:tc>
        <w:tc>
          <w:tcPr>
            <w:tcW w:w="2900" w:type="dxa"/>
            <w:tcMar>
              <w:top w:w="60" w:type="dxa"/>
              <w:left w:w="100" w:type="dxa"/>
              <w:bottom w:w="60" w:type="dxa"/>
              <w:right w:w="100" w:type="dxa"/>
            </w:tcMar>
            <w:vAlign w:val="center"/>
          </w:tcPr>
          <w:p w14:paraId="558E9C7A" w14:textId="77777777" w:rsidR="00EE18AE" w:rsidRDefault="00000000">
            <w:r>
              <w:rPr>
                <w:sz w:val="19"/>
                <w:szCs w:val="19"/>
              </w:rPr>
              <w:t>Executes orders on behalf of a client; does not take the other side of the trade itself (agency model).</w:t>
            </w:r>
          </w:p>
        </w:tc>
        <w:tc>
          <w:tcPr>
            <w:tcW w:w="2900" w:type="dxa"/>
            <w:tcMar>
              <w:top w:w="60" w:type="dxa"/>
              <w:left w:w="100" w:type="dxa"/>
              <w:bottom w:w="60" w:type="dxa"/>
              <w:right w:w="100" w:type="dxa"/>
            </w:tcMar>
            <w:vAlign w:val="center"/>
          </w:tcPr>
          <w:p w14:paraId="5B15E41D" w14:textId="77777777" w:rsidR="00EE18AE" w:rsidRDefault="00000000">
            <w:r>
              <w:rPr>
                <w:sz w:val="19"/>
                <w:szCs w:val="19"/>
              </w:rPr>
              <w:t>Commissions / execution fees.</w:t>
            </w:r>
          </w:p>
        </w:tc>
        <w:tc>
          <w:tcPr>
            <w:tcW w:w="2260" w:type="dxa"/>
            <w:tcMar>
              <w:top w:w="60" w:type="dxa"/>
              <w:left w:w="100" w:type="dxa"/>
              <w:bottom w:w="60" w:type="dxa"/>
              <w:right w:w="100" w:type="dxa"/>
            </w:tcMar>
            <w:vAlign w:val="center"/>
          </w:tcPr>
          <w:p w14:paraId="71DD06AC" w14:textId="77777777" w:rsidR="00EE18AE" w:rsidRDefault="00000000">
            <w:r>
              <w:rPr>
                <w:sz w:val="19"/>
                <w:szCs w:val="19"/>
              </w:rPr>
              <w:t>A retail brokerage routing a client's equity order to an exchange.</w:t>
            </w:r>
          </w:p>
        </w:tc>
      </w:tr>
      <w:tr w:rsidR="00EE18AE" w14:paraId="1BC9A83E" w14:textId="77777777">
        <w:tblPrEx>
          <w:tblCellMar>
            <w:top w:w="0" w:type="dxa"/>
            <w:bottom w:w="0" w:type="dxa"/>
          </w:tblCellMar>
        </w:tblPrEx>
        <w:tc>
          <w:tcPr>
            <w:tcW w:w="1500" w:type="dxa"/>
            <w:shd w:val="clear" w:color="auto" w:fill="F2F2F2"/>
            <w:tcMar>
              <w:top w:w="60" w:type="dxa"/>
              <w:left w:w="100" w:type="dxa"/>
              <w:bottom w:w="60" w:type="dxa"/>
              <w:right w:w="100" w:type="dxa"/>
            </w:tcMar>
            <w:vAlign w:val="center"/>
          </w:tcPr>
          <w:p w14:paraId="44CD15D0" w14:textId="77777777" w:rsidR="00EE18AE" w:rsidRDefault="00000000">
            <w:r>
              <w:rPr>
                <w:sz w:val="19"/>
                <w:szCs w:val="19"/>
              </w:rPr>
              <w:t>Dealer / Market Maker</w:t>
            </w:r>
          </w:p>
        </w:tc>
        <w:tc>
          <w:tcPr>
            <w:tcW w:w="2900" w:type="dxa"/>
            <w:shd w:val="clear" w:color="auto" w:fill="F2F2F2"/>
            <w:tcMar>
              <w:top w:w="60" w:type="dxa"/>
              <w:left w:w="100" w:type="dxa"/>
              <w:bottom w:w="60" w:type="dxa"/>
              <w:right w:w="100" w:type="dxa"/>
            </w:tcMar>
            <w:vAlign w:val="center"/>
          </w:tcPr>
          <w:p w14:paraId="0ACA9C4A" w14:textId="77777777" w:rsidR="00EE18AE" w:rsidRDefault="00000000">
            <w:r>
              <w:rPr>
                <w:sz w:val="19"/>
                <w:szCs w:val="19"/>
              </w:rPr>
              <w:t>Takes the other side of client trades from its own book (principal model), continuously quoting bid and ask prices.</w:t>
            </w:r>
          </w:p>
        </w:tc>
        <w:tc>
          <w:tcPr>
            <w:tcW w:w="2900" w:type="dxa"/>
            <w:shd w:val="clear" w:color="auto" w:fill="F2F2F2"/>
            <w:tcMar>
              <w:top w:w="60" w:type="dxa"/>
              <w:left w:w="100" w:type="dxa"/>
              <w:bottom w:w="60" w:type="dxa"/>
              <w:right w:w="100" w:type="dxa"/>
            </w:tcMar>
            <w:vAlign w:val="center"/>
          </w:tcPr>
          <w:p w14:paraId="19DA808D" w14:textId="77777777" w:rsidR="00EE18AE" w:rsidRDefault="00000000">
            <w:r>
              <w:rPr>
                <w:sz w:val="19"/>
                <w:szCs w:val="19"/>
              </w:rPr>
              <w:t>The bid-ask spread, plus any directional P&amp;L on inventory.</w:t>
            </w:r>
          </w:p>
        </w:tc>
        <w:tc>
          <w:tcPr>
            <w:tcW w:w="2260" w:type="dxa"/>
            <w:shd w:val="clear" w:color="auto" w:fill="F2F2F2"/>
            <w:tcMar>
              <w:top w:w="60" w:type="dxa"/>
              <w:left w:w="100" w:type="dxa"/>
              <w:bottom w:w="60" w:type="dxa"/>
              <w:right w:w="100" w:type="dxa"/>
            </w:tcMar>
            <w:vAlign w:val="center"/>
          </w:tcPr>
          <w:p w14:paraId="6E826781" w14:textId="77777777" w:rsidR="00EE18AE" w:rsidRDefault="00000000">
            <w:r>
              <w:rPr>
                <w:sz w:val="19"/>
                <w:szCs w:val="19"/>
              </w:rPr>
              <w:t>An OTC FX dealer quoting EUR/USD to a corporate client.</w:t>
            </w:r>
          </w:p>
        </w:tc>
      </w:tr>
      <w:tr w:rsidR="00EE18AE" w14:paraId="3456FBDD" w14:textId="77777777">
        <w:tblPrEx>
          <w:tblCellMar>
            <w:top w:w="0" w:type="dxa"/>
            <w:bottom w:w="0" w:type="dxa"/>
          </w:tblCellMar>
        </w:tblPrEx>
        <w:tc>
          <w:tcPr>
            <w:tcW w:w="1500" w:type="dxa"/>
            <w:tcMar>
              <w:top w:w="60" w:type="dxa"/>
              <w:left w:w="100" w:type="dxa"/>
              <w:bottom w:w="60" w:type="dxa"/>
              <w:right w:w="100" w:type="dxa"/>
            </w:tcMar>
            <w:vAlign w:val="center"/>
          </w:tcPr>
          <w:p w14:paraId="2248070D" w14:textId="77777777" w:rsidR="00EE18AE" w:rsidRDefault="00000000">
            <w:r>
              <w:rPr>
                <w:sz w:val="19"/>
                <w:szCs w:val="19"/>
              </w:rPr>
              <w:t>Prime Broker</w:t>
            </w:r>
          </w:p>
        </w:tc>
        <w:tc>
          <w:tcPr>
            <w:tcW w:w="2900" w:type="dxa"/>
            <w:tcMar>
              <w:top w:w="60" w:type="dxa"/>
              <w:left w:w="100" w:type="dxa"/>
              <w:bottom w:w="60" w:type="dxa"/>
              <w:right w:w="100" w:type="dxa"/>
            </w:tcMar>
            <w:vAlign w:val="center"/>
          </w:tcPr>
          <w:p w14:paraId="40433DDD" w14:textId="77777777" w:rsidR="00EE18AE" w:rsidRDefault="00000000">
            <w:r>
              <w:rPr>
                <w:sz w:val="19"/>
                <w:szCs w:val="19"/>
              </w:rPr>
              <w:t>Provides financing, securities lending, custody and consolidated reporting to institutional clients (typically hedge funds), and can “give up” executed trades to be settled under the PB relationship.</w:t>
            </w:r>
          </w:p>
        </w:tc>
        <w:tc>
          <w:tcPr>
            <w:tcW w:w="2900" w:type="dxa"/>
            <w:tcMar>
              <w:top w:w="60" w:type="dxa"/>
              <w:left w:w="100" w:type="dxa"/>
              <w:bottom w:w="60" w:type="dxa"/>
              <w:right w:w="100" w:type="dxa"/>
            </w:tcMar>
            <w:vAlign w:val="center"/>
          </w:tcPr>
          <w:p w14:paraId="6EA90D57" w14:textId="77777777" w:rsidR="00EE18AE" w:rsidRDefault="00000000">
            <w:r>
              <w:rPr>
                <w:sz w:val="19"/>
                <w:szCs w:val="19"/>
              </w:rPr>
              <w:t>Financing spreads, securities-lending fees, and commissions.</w:t>
            </w:r>
          </w:p>
        </w:tc>
        <w:tc>
          <w:tcPr>
            <w:tcW w:w="2260" w:type="dxa"/>
            <w:tcMar>
              <w:top w:w="60" w:type="dxa"/>
              <w:left w:w="100" w:type="dxa"/>
              <w:bottom w:w="60" w:type="dxa"/>
              <w:right w:w="100" w:type="dxa"/>
            </w:tcMar>
            <w:vAlign w:val="center"/>
          </w:tcPr>
          <w:p w14:paraId="6671BC70" w14:textId="77777777" w:rsidR="00EE18AE" w:rsidRDefault="00000000">
            <w:r>
              <w:rPr>
                <w:sz w:val="19"/>
                <w:szCs w:val="19"/>
              </w:rPr>
              <w:t>A bank's prime services division financing a hedge fund's long/short equity book.</w:t>
            </w:r>
          </w:p>
        </w:tc>
      </w:tr>
      <w:tr w:rsidR="00EE18AE" w14:paraId="66DE7168" w14:textId="77777777">
        <w:tblPrEx>
          <w:tblCellMar>
            <w:top w:w="0" w:type="dxa"/>
            <w:bottom w:w="0" w:type="dxa"/>
          </w:tblCellMar>
        </w:tblPrEx>
        <w:tc>
          <w:tcPr>
            <w:tcW w:w="1500" w:type="dxa"/>
            <w:shd w:val="clear" w:color="auto" w:fill="F2F2F2"/>
            <w:tcMar>
              <w:top w:w="60" w:type="dxa"/>
              <w:left w:w="100" w:type="dxa"/>
              <w:bottom w:w="60" w:type="dxa"/>
              <w:right w:w="100" w:type="dxa"/>
            </w:tcMar>
            <w:vAlign w:val="center"/>
          </w:tcPr>
          <w:p w14:paraId="08092BB3" w14:textId="77777777" w:rsidR="00EE18AE" w:rsidRDefault="00000000">
            <w:r>
              <w:rPr>
                <w:sz w:val="19"/>
                <w:szCs w:val="19"/>
              </w:rPr>
              <w:t>Clearing House / CCP</w:t>
            </w:r>
          </w:p>
        </w:tc>
        <w:tc>
          <w:tcPr>
            <w:tcW w:w="2900" w:type="dxa"/>
            <w:shd w:val="clear" w:color="auto" w:fill="F2F2F2"/>
            <w:tcMar>
              <w:top w:w="60" w:type="dxa"/>
              <w:left w:w="100" w:type="dxa"/>
              <w:bottom w:w="60" w:type="dxa"/>
              <w:right w:w="100" w:type="dxa"/>
            </w:tcMar>
            <w:vAlign w:val="center"/>
          </w:tcPr>
          <w:p w14:paraId="62DE2068" w14:textId="77777777" w:rsidR="00EE18AE" w:rsidRDefault="00000000">
            <w:r>
              <w:rPr>
                <w:sz w:val="19"/>
                <w:szCs w:val="19"/>
              </w:rPr>
              <w:t>Interposes itself between the two sides of a trade (novation), becoming the buyer to every seller and the seller to every buyer, and mutualises default risk via margin and a default fund.</w:t>
            </w:r>
          </w:p>
        </w:tc>
        <w:tc>
          <w:tcPr>
            <w:tcW w:w="2900" w:type="dxa"/>
            <w:shd w:val="clear" w:color="auto" w:fill="F2F2F2"/>
            <w:tcMar>
              <w:top w:w="60" w:type="dxa"/>
              <w:left w:w="100" w:type="dxa"/>
              <w:bottom w:w="60" w:type="dxa"/>
              <w:right w:w="100" w:type="dxa"/>
            </w:tcMar>
            <w:vAlign w:val="center"/>
          </w:tcPr>
          <w:p w14:paraId="7E8E2053" w14:textId="77777777" w:rsidR="00EE18AE" w:rsidRDefault="00000000">
            <w:r>
              <w:rPr>
                <w:sz w:val="19"/>
                <w:szCs w:val="19"/>
              </w:rPr>
              <w:t>Clearing fees; margin is collected as risk protection, not revenue.</w:t>
            </w:r>
          </w:p>
        </w:tc>
        <w:tc>
          <w:tcPr>
            <w:tcW w:w="2260" w:type="dxa"/>
            <w:shd w:val="clear" w:color="auto" w:fill="F2F2F2"/>
            <w:tcMar>
              <w:top w:w="60" w:type="dxa"/>
              <w:left w:w="100" w:type="dxa"/>
              <w:bottom w:w="60" w:type="dxa"/>
              <w:right w:w="100" w:type="dxa"/>
            </w:tcMar>
            <w:vAlign w:val="center"/>
          </w:tcPr>
          <w:p w14:paraId="2D7B1B98" w14:textId="77777777" w:rsidR="00EE18AE" w:rsidRDefault="00000000">
            <w:r>
              <w:rPr>
                <w:sz w:val="19"/>
                <w:szCs w:val="19"/>
              </w:rPr>
              <w:t>LCH, CME Clearing, ICE Clear.</w:t>
            </w:r>
          </w:p>
        </w:tc>
      </w:tr>
      <w:tr w:rsidR="00EE18AE" w14:paraId="7240B50A" w14:textId="77777777">
        <w:tblPrEx>
          <w:tblCellMar>
            <w:top w:w="0" w:type="dxa"/>
            <w:bottom w:w="0" w:type="dxa"/>
          </w:tblCellMar>
        </w:tblPrEx>
        <w:tc>
          <w:tcPr>
            <w:tcW w:w="1500" w:type="dxa"/>
            <w:tcMar>
              <w:top w:w="60" w:type="dxa"/>
              <w:left w:w="100" w:type="dxa"/>
              <w:bottom w:w="60" w:type="dxa"/>
              <w:right w:w="100" w:type="dxa"/>
            </w:tcMar>
            <w:vAlign w:val="center"/>
          </w:tcPr>
          <w:p w14:paraId="7EB17ECA" w14:textId="77777777" w:rsidR="00EE18AE" w:rsidRDefault="00000000">
            <w:r>
              <w:rPr>
                <w:sz w:val="19"/>
                <w:szCs w:val="19"/>
              </w:rPr>
              <w:t>Custodian</w:t>
            </w:r>
          </w:p>
        </w:tc>
        <w:tc>
          <w:tcPr>
            <w:tcW w:w="2900" w:type="dxa"/>
            <w:tcMar>
              <w:top w:w="60" w:type="dxa"/>
              <w:left w:w="100" w:type="dxa"/>
              <w:bottom w:w="60" w:type="dxa"/>
              <w:right w:w="100" w:type="dxa"/>
            </w:tcMar>
            <w:vAlign w:val="center"/>
          </w:tcPr>
          <w:p w14:paraId="7A5A0DAE" w14:textId="77777777" w:rsidR="00EE18AE" w:rsidRDefault="00000000">
            <w:r>
              <w:rPr>
                <w:sz w:val="19"/>
                <w:szCs w:val="19"/>
              </w:rPr>
              <w:t>Safekeeps client assets, handles corporate actions (dividends, splits), and settles trades on behalf of institutional clients.</w:t>
            </w:r>
          </w:p>
        </w:tc>
        <w:tc>
          <w:tcPr>
            <w:tcW w:w="2900" w:type="dxa"/>
            <w:tcMar>
              <w:top w:w="60" w:type="dxa"/>
              <w:left w:w="100" w:type="dxa"/>
              <w:bottom w:w="60" w:type="dxa"/>
              <w:right w:w="100" w:type="dxa"/>
            </w:tcMar>
            <w:vAlign w:val="center"/>
          </w:tcPr>
          <w:p w14:paraId="6BCBC79E" w14:textId="77777777" w:rsidR="00EE18AE" w:rsidRDefault="00000000">
            <w:r>
              <w:rPr>
                <w:sz w:val="19"/>
                <w:szCs w:val="19"/>
              </w:rPr>
              <w:t>Custody and asset-servicing fees, typically a small basis-point charge on assets under custody.</w:t>
            </w:r>
          </w:p>
        </w:tc>
        <w:tc>
          <w:tcPr>
            <w:tcW w:w="2260" w:type="dxa"/>
            <w:tcMar>
              <w:top w:w="60" w:type="dxa"/>
              <w:left w:w="100" w:type="dxa"/>
              <w:bottom w:w="60" w:type="dxa"/>
              <w:right w:w="100" w:type="dxa"/>
            </w:tcMar>
            <w:vAlign w:val="center"/>
          </w:tcPr>
          <w:p w14:paraId="03B5D889" w14:textId="77777777" w:rsidR="00EE18AE" w:rsidRDefault="00000000">
            <w:r>
              <w:rPr>
                <w:sz w:val="19"/>
                <w:szCs w:val="19"/>
              </w:rPr>
              <w:t>State Street or BNY Mellon holding a pension fund's securities.</w:t>
            </w:r>
          </w:p>
        </w:tc>
      </w:tr>
      <w:tr w:rsidR="00EE18AE" w14:paraId="444C7015" w14:textId="77777777">
        <w:tblPrEx>
          <w:tblCellMar>
            <w:top w:w="0" w:type="dxa"/>
            <w:bottom w:w="0" w:type="dxa"/>
          </w:tblCellMar>
        </w:tblPrEx>
        <w:tc>
          <w:tcPr>
            <w:tcW w:w="1500" w:type="dxa"/>
            <w:shd w:val="clear" w:color="auto" w:fill="F2F2F2"/>
            <w:tcMar>
              <w:top w:w="60" w:type="dxa"/>
              <w:left w:w="100" w:type="dxa"/>
              <w:bottom w:w="60" w:type="dxa"/>
              <w:right w:w="100" w:type="dxa"/>
            </w:tcMar>
            <w:vAlign w:val="center"/>
          </w:tcPr>
          <w:p w14:paraId="376E4675" w14:textId="77777777" w:rsidR="00EE18AE" w:rsidRDefault="00000000">
            <w:r>
              <w:rPr>
                <w:sz w:val="19"/>
                <w:szCs w:val="19"/>
              </w:rPr>
              <w:t>Central Securities Depository (CSD)</w:t>
            </w:r>
          </w:p>
        </w:tc>
        <w:tc>
          <w:tcPr>
            <w:tcW w:w="2900" w:type="dxa"/>
            <w:shd w:val="clear" w:color="auto" w:fill="F2F2F2"/>
            <w:tcMar>
              <w:top w:w="60" w:type="dxa"/>
              <w:left w:w="100" w:type="dxa"/>
              <w:bottom w:w="60" w:type="dxa"/>
              <w:right w:w="100" w:type="dxa"/>
            </w:tcMar>
            <w:vAlign w:val="center"/>
          </w:tcPr>
          <w:p w14:paraId="1C91B9B8" w14:textId="77777777" w:rsidR="00EE18AE" w:rsidRDefault="00000000">
            <w:r>
              <w:rPr>
                <w:sz w:val="19"/>
                <w:szCs w:val="19"/>
              </w:rPr>
              <w:t>The ultimate electronic book-entry record of who owns what; where legal ownership actually changes hands on settlement.</w:t>
            </w:r>
          </w:p>
        </w:tc>
        <w:tc>
          <w:tcPr>
            <w:tcW w:w="2900" w:type="dxa"/>
            <w:shd w:val="clear" w:color="auto" w:fill="F2F2F2"/>
            <w:tcMar>
              <w:top w:w="60" w:type="dxa"/>
              <w:left w:w="100" w:type="dxa"/>
              <w:bottom w:w="60" w:type="dxa"/>
              <w:right w:w="100" w:type="dxa"/>
            </w:tcMar>
            <w:vAlign w:val="center"/>
          </w:tcPr>
          <w:p w14:paraId="1D8E78B3" w14:textId="77777777" w:rsidR="00EE18AE" w:rsidRDefault="00000000">
            <w:r>
              <w:rPr>
                <w:sz w:val="19"/>
                <w:szCs w:val="19"/>
              </w:rPr>
              <w:t>Settlement and safekeeping fees charged to participants.</w:t>
            </w:r>
          </w:p>
        </w:tc>
        <w:tc>
          <w:tcPr>
            <w:tcW w:w="2260" w:type="dxa"/>
            <w:shd w:val="clear" w:color="auto" w:fill="F2F2F2"/>
            <w:tcMar>
              <w:top w:w="60" w:type="dxa"/>
              <w:left w:w="100" w:type="dxa"/>
              <w:bottom w:w="60" w:type="dxa"/>
              <w:right w:w="100" w:type="dxa"/>
            </w:tcMar>
            <w:vAlign w:val="center"/>
          </w:tcPr>
          <w:p w14:paraId="7DB92EFC" w14:textId="77777777" w:rsidR="00EE18AE" w:rsidRDefault="00000000">
            <w:r>
              <w:rPr>
                <w:sz w:val="19"/>
                <w:szCs w:val="19"/>
              </w:rPr>
              <w:t>The Depository Trust Company (DTC) in the US; Euroclear/Clearstream in Europe.</w:t>
            </w:r>
          </w:p>
        </w:tc>
      </w:tr>
      <w:tr w:rsidR="00EE18AE" w14:paraId="468CD4B2" w14:textId="77777777">
        <w:tblPrEx>
          <w:tblCellMar>
            <w:top w:w="0" w:type="dxa"/>
            <w:bottom w:w="0" w:type="dxa"/>
          </w:tblCellMar>
        </w:tblPrEx>
        <w:tc>
          <w:tcPr>
            <w:tcW w:w="1500" w:type="dxa"/>
            <w:tcMar>
              <w:top w:w="60" w:type="dxa"/>
              <w:left w:w="100" w:type="dxa"/>
              <w:bottom w:w="60" w:type="dxa"/>
              <w:right w:w="100" w:type="dxa"/>
            </w:tcMar>
            <w:vAlign w:val="center"/>
          </w:tcPr>
          <w:p w14:paraId="4374BD1B" w14:textId="77777777" w:rsidR="00EE18AE" w:rsidRDefault="00000000">
            <w:r>
              <w:rPr>
                <w:sz w:val="19"/>
                <w:szCs w:val="19"/>
              </w:rPr>
              <w:t>Electronic Venue / ATS</w:t>
            </w:r>
          </w:p>
        </w:tc>
        <w:tc>
          <w:tcPr>
            <w:tcW w:w="2900" w:type="dxa"/>
            <w:tcMar>
              <w:top w:w="60" w:type="dxa"/>
              <w:left w:w="100" w:type="dxa"/>
              <w:bottom w:w="60" w:type="dxa"/>
              <w:right w:w="100" w:type="dxa"/>
            </w:tcMar>
            <w:vAlign w:val="center"/>
          </w:tcPr>
          <w:p w14:paraId="708788BA" w14:textId="77777777" w:rsidR="00EE18AE" w:rsidRDefault="00000000">
            <w:r>
              <w:rPr>
                <w:sz w:val="19"/>
                <w:szCs w:val="19"/>
              </w:rPr>
              <w:t>Provides the technology and rulebook for matching buy and sell orders, lit or dark.</w:t>
            </w:r>
          </w:p>
        </w:tc>
        <w:tc>
          <w:tcPr>
            <w:tcW w:w="2900" w:type="dxa"/>
            <w:tcMar>
              <w:top w:w="60" w:type="dxa"/>
              <w:left w:w="100" w:type="dxa"/>
              <w:bottom w:w="60" w:type="dxa"/>
              <w:right w:w="100" w:type="dxa"/>
            </w:tcMar>
            <w:vAlign w:val="center"/>
          </w:tcPr>
          <w:p w14:paraId="1A953232" w14:textId="77777777" w:rsidR="00EE18AE" w:rsidRDefault="00000000">
            <w:r>
              <w:rPr>
                <w:sz w:val="19"/>
                <w:szCs w:val="19"/>
              </w:rPr>
              <w:t>Transaction/market-data fees; sometimes rebates for adding liquidity.</w:t>
            </w:r>
          </w:p>
        </w:tc>
        <w:tc>
          <w:tcPr>
            <w:tcW w:w="2260" w:type="dxa"/>
            <w:tcMar>
              <w:top w:w="60" w:type="dxa"/>
              <w:left w:w="100" w:type="dxa"/>
              <w:bottom w:w="60" w:type="dxa"/>
              <w:right w:w="100" w:type="dxa"/>
            </w:tcMar>
            <w:vAlign w:val="center"/>
          </w:tcPr>
          <w:p w14:paraId="68B36DEC" w14:textId="77777777" w:rsidR="00EE18AE" w:rsidRDefault="00000000">
            <w:r>
              <w:rPr>
                <w:sz w:val="19"/>
                <w:szCs w:val="19"/>
              </w:rPr>
              <w:t>An equity dark pool operated by a bank or independent venue operator.</w:t>
            </w:r>
          </w:p>
        </w:tc>
      </w:tr>
    </w:tbl>
    <w:p w14:paraId="23C881F7" w14:textId="77777777" w:rsidR="00EE18AE" w:rsidRDefault="00000000">
      <w:pPr>
        <w:pStyle w:val="Heading2"/>
        <w:spacing w:before="260"/>
      </w:pPr>
      <w:bookmarkStart w:id="7" w:name="_Toc239542902"/>
      <w:r>
        <w:t>1.4 The Trade Lifecycle</w:t>
      </w:r>
      <w:bookmarkEnd w:id="7"/>
    </w:p>
    <w:p w14:paraId="5E2E9747" w14:textId="77777777" w:rsidR="00EE18AE" w:rsidRDefault="00000000">
      <w:pPr>
        <w:spacing w:after="120"/>
      </w:pPr>
      <w:r>
        <w:t>Every trade, regardless of asset class, passes through the same conceptual stages — though the actors and timing differ sharply between a centrally-cleared exchange trade and a bilateral OTC trade.</w:t>
      </w:r>
    </w:p>
    <w:p w14:paraId="3C6E61A0" w14:textId="77777777" w:rsidR="00EE18AE" w:rsidRDefault="00000000">
      <w:pPr>
        <w:spacing w:before="120" w:after="80"/>
        <w:jc w:val="center"/>
      </w:pPr>
      <w:r>
        <w:rPr>
          <w:noProof/>
        </w:rPr>
        <w:drawing>
          <wp:inline distT="0" distB="0" distL="0" distR="0" wp14:anchorId="38E18B29" wp14:editId="3FA46A1A">
            <wp:extent cx="5848350" cy="1638300"/>
            <wp:effectExtent l="0" t="0" r="0" b="0"/>
            <wp:docPr id="716250494" name="Picture 716250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848350" cy="1638300"/>
                    </a:xfrm>
                    <a:prstGeom prst="rect">
                      <a:avLst/>
                    </a:prstGeom>
                  </pic:spPr>
                </pic:pic>
              </a:graphicData>
            </a:graphic>
          </wp:inline>
        </w:drawing>
      </w:r>
    </w:p>
    <w:p w14:paraId="71A40100" w14:textId="77777777" w:rsidR="00EE18AE" w:rsidRDefault="00000000">
      <w:pPr>
        <w:spacing w:after="200"/>
        <w:jc w:val="center"/>
      </w:pPr>
      <w:r>
        <w:rPr>
          <w:i/>
          <w:iCs/>
          <w:color w:val="595959"/>
          <w:sz w:val="17"/>
          <w:szCs w:val="17"/>
        </w:rPr>
        <w:t>Figure 1.2 — The trade lifecycle for a centrally-cleared, exchange-listed instrument. An OTC bilateral trade skips the CCP-novation step entirely and settles or collateralises according to a negotiated ISDA Credit Support Annex (CSA).</w:t>
      </w:r>
    </w:p>
    <w:p w14:paraId="3BC760F3" w14:textId="77777777" w:rsidR="00EE18AE" w:rsidRDefault="00000000">
      <w:pPr>
        <w:pStyle w:val="Heading3"/>
      </w:pPr>
      <w:bookmarkStart w:id="8" w:name="_Toc239542903"/>
      <w:r>
        <w:lastRenderedPageBreak/>
        <w:t>What Happens at Each Stage</w:t>
      </w:r>
      <w:bookmarkEnd w:id="8"/>
    </w:p>
    <w:p w14:paraId="6ADF1F2B" w14:textId="77777777" w:rsidR="00EE18AE" w:rsidRDefault="00000000">
      <w:pPr>
        <w:pStyle w:val="ListParagraph"/>
        <w:numPr>
          <w:ilvl w:val="0"/>
          <w:numId w:val="2"/>
        </w:numPr>
        <w:spacing w:after="40"/>
      </w:pPr>
      <w:r>
        <w:rPr>
          <w:b/>
          <w:bCs/>
          <w:sz w:val="20"/>
          <w:szCs w:val="20"/>
        </w:rPr>
        <w:t xml:space="preserve">Order placement: </w:t>
      </w:r>
      <w:r>
        <w:rPr>
          <w:sz w:val="20"/>
          <w:szCs w:val="20"/>
        </w:rPr>
        <w:t>The investor (or their algorithm) specifies instrument, side, size, price/type and sends it to a broker.</w:t>
      </w:r>
    </w:p>
    <w:p w14:paraId="0CBBAD1C" w14:textId="77777777" w:rsidR="00EE18AE" w:rsidRDefault="00000000">
      <w:pPr>
        <w:pStyle w:val="ListParagraph"/>
        <w:numPr>
          <w:ilvl w:val="0"/>
          <w:numId w:val="2"/>
        </w:numPr>
        <w:spacing w:after="40"/>
      </w:pPr>
      <w:r>
        <w:rPr>
          <w:b/>
          <w:bCs/>
          <w:sz w:val="20"/>
          <w:szCs w:val="20"/>
        </w:rPr>
        <w:t xml:space="preserve">Order routing &amp; matching: </w:t>
      </w:r>
      <w:r>
        <w:rPr>
          <w:sz w:val="20"/>
          <w:szCs w:val="20"/>
        </w:rPr>
        <w:t xml:space="preserve">The broker routes the order to </w:t>
      </w:r>
      <w:proofErr w:type="spellStart"/>
      <w:r>
        <w:rPr>
          <w:sz w:val="20"/>
          <w:szCs w:val="20"/>
        </w:rPr>
        <w:t>a venue</w:t>
      </w:r>
      <w:proofErr w:type="spellEnd"/>
      <w:r>
        <w:rPr>
          <w:sz w:val="20"/>
          <w:szCs w:val="20"/>
        </w:rPr>
        <w:t xml:space="preserve"> (its own exchange, an ATS, or an internal matching engine), where it either rests on the book or matches against existing liquidity.</w:t>
      </w:r>
    </w:p>
    <w:p w14:paraId="16ECC1A6" w14:textId="77777777" w:rsidR="00EE18AE" w:rsidRDefault="00000000">
      <w:pPr>
        <w:pStyle w:val="ListParagraph"/>
        <w:numPr>
          <w:ilvl w:val="0"/>
          <w:numId w:val="2"/>
        </w:numPr>
        <w:spacing w:after="40"/>
      </w:pPr>
      <w:r>
        <w:rPr>
          <w:b/>
          <w:bCs/>
          <w:sz w:val="20"/>
          <w:szCs w:val="20"/>
        </w:rPr>
        <w:t xml:space="preserve">Execution: </w:t>
      </w:r>
      <w:r>
        <w:rPr>
          <w:sz w:val="20"/>
          <w:szCs w:val="20"/>
        </w:rPr>
        <w:t>A trade is confirmed: both counterparties (or the counterparty and the venue) now have a legally binding obligation.</w:t>
      </w:r>
    </w:p>
    <w:p w14:paraId="13CDB2CE" w14:textId="77777777" w:rsidR="00EE18AE" w:rsidRDefault="00000000">
      <w:pPr>
        <w:pStyle w:val="ListParagraph"/>
        <w:numPr>
          <w:ilvl w:val="0"/>
          <w:numId w:val="2"/>
        </w:numPr>
        <w:spacing w:after="40"/>
      </w:pPr>
      <w:r>
        <w:rPr>
          <w:b/>
          <w:bCs/>
          <w:sz w:val="20"/>
          <w:szCs w:val="20"/>
        </w:rPr>
        <w:t xml:space="preserve">Clearing (CCP novation): </w:t>
      </w:r>
      <w:r>
        <w:rPr>
          <w:sz w:val="20"/>
          <w:szCs w:val="20"/>
        </w:rPr>
        <w:t>For centrally-cleared products, the CCP steps in as legal counterparty to both sides, so each participant now faces the CCP's credit risk rather than the original counterparty's. Initial margin is posted at this stage.</w:t>
      </w:r>
    </w:p>
    <w:p w14:paraId="555156D6" w14:textId="77777777" w:rsidR="00EE18AE" w:rsidRDefault="00000000">
      <w:pPr>
        <w:pStyle w:val="ListParagraph"/>
        <w:numPr>
          <w:ilvl w:val="0"/>
          <w:numId w:val="2"/>
        </w:numPr>
        <w:spacing w:after="40"/>
      </w:pPr>
      <w:r>
        <w:rPr>
          <w:b/>
          <w:bCs/>
          <w:sz w:val="20"/>
          <w:szCs w:val="20"/>
        </w:rPr>
        <w:t xml:space="preserve">Settlement: </w:t>
      </w:r>
      <w:r>
        <w:rPr>
          <w:sz w:val="20"/>
          <w:szCs w:val="20"/>
        </w:rPr>
        <w:t>Securities and cash are actually exchanged, with legal ownership transferred at the CSD. This is now T+1 for most US securities (see Figure 1.3).</w:t>
      </w:r>
    </w:p>
    <w:p w14:paraId="2C7D2CF4" w14:textId="77777777" w:rsidR="00EE18AE" w:rsidRDefault="00000000">
      <w:pPr>
        <w:pStyle w:val="ListParagraph"/>
        <w:numPr>
          <w:ilvl w:val="0"/>
          <w:numId w:val="2"/>
        </w:numPr>
        <w:spacing w:after="40"/>
      </w:pPr>
      <w:r>
        <w:rPr>
          <w:b/>
          <w:bCs/>
          <w:sz w:val="20"/>
          <w:szCs w:val="20"/>
        </w:rPr>
        <w:t xml:space="preserve">Custody &amp; ongoing mark-to-market: </w:t>
      </w:r>
      <w:r>
        <w:rPr>
          <w:sz w:val="20"/>
          <w:szCs w:val="20"/>
        </w:rPr>
        <w:t>The position is held by a custodian (or the broker, for retail accounts) and marked to market daily for P&amp;L and margin purposes for as long as it is held.</w:t>
      </w:r>
    </w:p>
    <w:p w14:paraId="593264FB" w14:textId="77777777" w:rsidR="00EE18AE" w:rsidRDefault="00000000">
      <w:pPr>
        <w:pStyle w:val="Heading2"/>
        <w:spacing w:before="260"/>
      </w:pPr>
      <w:bookmarkStart w:id="9" w:name="_Toc239542904"/>
      <w:r>
        <w:t>1.5 Settlement Timelines Have Been Shrinking</w:t>
      </w:r>
      <w:bookmarkEnd w:id="9"/>
    </w:p>
    <w:p w14:paraId="7D58D0F0" w14:textId="77777777" w:rsidR="00EE18AE" w:rsidRDefault="00000000">
      <w:pPr>
        <w:spacing w:after="120"/>
      </w:pPr>
      <w:r>
        <w:t>Settlement timing is not a historical accident — it is a direct, regulated trade-off between operational feasibility and counterparty/systemic risk: the longer a trade sits unsettled, the more can go wrong (a counterparty default, a large adverse price move) before it is finalised.</w:t>
      </w:r>
    </w:p>
    <w:p w14:paraId="53548CA2" w14:textId="77777777" w:rsidR="00EE18AE" w:rsidRDefault="00000000">
      <w:pPr>
        <w:spacing w:before="120" w:after="80"/>
        <w:jc w:val="center"/>
      </w:pPr>
      <w:r>
        <w:rPr>
          <w:noProof/>
        </w:rPr>
        <w:drawing>
          <wp:inline distT="0" distB="0" distL="0" distR="0" wp14:anchorId="218748DB" wp14:editId="5E02B221">
            <wp:extent cx="5848350" cy="3114675"/>
            <wp:effectExtent l="0" t="0" r="0" b="0"/>
            <wp:docPr id="196192118" name="Picture 196192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848350" cy="3114675"/>
                    </a:xfrm>
                    <a:prstGeom prst="rect">
                      <a:avLst/>
                    </a:prstGeom>
                  </pic:spPr>
                </pic:pic>
              </a:graphicData>
            </a:graphic>
          </wp:inline>
        </w:drawing>
      </w:r>
    </w:p>
    <w:p w14:paraId="6DA41005" w14:textId="77777777" w:rsidR="00EE18AE" w:rsidRDefault="00000000">
      <w:pPr>
        <w:spacing w:after="200"/>
        <w:jc w:val="center"/>
      </w:pPr>
      <w:r>
        <w:rPr>
          <w:i/>
          <w:iCs/>
          <w:color w:val="595959"/>
          <w:sz w:val="17"/>
          <w:szCs w:val="17"/>
        </w:rPr>
        <w:t>Figure 1.3 — US equities moved from T+3 to T+2 in September 2017, and from T+2 to T+1 on 28 May 2024 under SEC Rule 15c6-1, explicitly to reduce the systemic risk from unsettled trades. OTC swaps settle or post collateral on a bespoke, negotiated basis.</w:t>
      </w:r>
    </w:p>
    <w:p w14:paraId="4A07829B" w14:textId="77777777" w:rsidR="00EE18AE" w:rsidRDefault="00000000">
      <w:pPr>
        <w:pBdr>
          <w:left w:val="single" w:sz="24" w:space="8" w:color="C0392B"/>
        </w:pBdr>
        <w:shd w:val="clear" w:color="auto" w:fill="FCECEC"/>
        <w:spacing w:before="120" w:after="40"/>
      </w:pPr>
      <w:r>
        <w:rPr>
          <w:b/>
          <w:bCs/>
          <w:color w:val="C0392B"/>
          <w:sz w:val="20"/>
          <w:szCs w:val="20"/>
        </w:rPr>
        <w:t>⚠  Why shorter settlement matters for risk, not just convenience</w:t>
      </w:r>
    </w:p>
    <w:p w14:paraId="1D2A58A4" w14:textId="77777777" w:rsidR="00EE18AE" w:rsidRDefault="00000000">
      <w:pPr>
        <w:pStyle w:val="ListParagraph"/>
        <w:numPr>
          <w:ilvl w:val="0"/>
          <w:numId w:val="2"/>
        </w:numPr>
        <w:pBdr>
          <w:left w:val="single" w:sz="24" w:space="8" w:color="C0392B"/>
        </w:pBdr>
        <w:shd w:val="clear" w:color="auto" w:fill="FCECEC"/>
        <w:spacing w:after="40"/>
      </w:pPr>
      <w:r>
        <w:rPr>
          <w:sz w:val="20"/>
          <w:szCs w:val="20"/>
        </w:rPr>
        <w:t>The SEC's own stated rationale for the 2024 move to T+1 was to reduce credit, market and liquidity risk from unsettled trades — not merely operational efficiency (SEC Chair Gary Gensler, 2024 statement).</w:t>
      </w:r>
    </w:p>
    <w:p w14:paraId="7C97475E" w14:textId="77777777" w:rsidR="00EE18AE" w:rsidRDefault="00000000">
      <w:pPr>
        <w:pStyle w:val="ListParagraph"/>
        <w:numPr>
          <w:ilvl w:val="0"/>
          <w:numId w:val="2"/>
        </w:numPr>
        <w:pBdr>
          <w:left w:val="single" w:sz="24" w:space="8" w:color="C0392B"/>
        </w:pBdr>
        <w:shd w:val="clear" w:color="auto" w:fill="FCECEC"/>
        <w:spacing w:after="40"/>
      </w:pPr>
      <w:r>
        <w:rPr>
          <w:sz w:val="20"/>
          <w:szCs w:val="20"/>
        </w:rPr>
        <w:t>A shorter settlement window shrinks the time an investor is exposed to their broker's or counterparty's solvency — directly relevant when reasoning about counterparty risk in §1.6 below.</w:t>
      </w:r>
    </w:p>
    <w:p w14:paraId="5299DF67" w14:textId="77777777" w:rsidR="00EE18AE" w:rsidRDefault="00EE18AE">
      <w:pPr>
        <w:spacing w:after="80"/>
      </w:pPr>
    </w:p>
    <w:p w14:paraId="741C4ECD" w14:textId="77777777" w:rsidR="00EE18AE" w:rsidRDefault="00000000">
      <w:pPr>
        <w:pStyle w:val="Heading2"/>
        <w:spacing w:before="260"/>
      </w:pPr>
      <w:bookmarkStart w:id="10" w:name="_Toc239542905"/>
      <w:r>
        <w:t>1.6 Where the Trading Actually Happens: Market Size by Venue Type</w:t>
      </w:r>
      <w:bookmarkEnd w:id="10"/>
    </w:p>
    <w:p w14:paraId="7D080D3F" w14:textId="77777777" w:rsidR="00EE18AE" w:rsidRDefault="00000000">
      <w:pPr>
        <w:spacing w:after="120"/>
      </w:pPr>
      <w:r>
        <w:lastRenderedPageBreak/>
        <w:t>The scale of OTC markets is easy to underestimate from a retail vantage point, where exchange-listed equities dominate everyday experience. In reality, OTC markets — FX above all — dwarf listed-exchange turnover in daily dollar terms.</w:t>
      </w:r>
    </w:p>
    <w:p w14:paraId="38F136FA" w14:textId="77777777" w:rsidR="00EE18AE" w:rsidRDefault="00000000">
      <w:pPr>
        <w:spacing w:before="120" w:after="80"/>
        <w:jc w:val="center"/>
      </w:pPr>
      <w:r>
        <w:rPr>
          <w:noProof/>
        </w:rPr>
        <w:drawing>
          <wp:inline distT="0" distB="0" distL="0" distR="0" wp14:anchorId="28787B26" wp14:editId="31192E82">
            <wp:extent cx="5762625" cy="3143250"/>
            <wp:effectExtent l="0" t="0" r="0" b="0"/>
            <wp:docPr id="1558134678" name="Picture 1558134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2625" cy="3143250"/>
                    </a:xfrm>
                    <a:prstGeom prst="rect">
                      <a:avLst/>
                    </a:prstGeom>
                  </pic:spPr>
                </pic:pic>
              </a:graphicData>
            </a:graphic>
          </wp:inline>
        </w:drawing>
      </w:r>
    </w:p>
    <w:p w14:paraId="18D6EFDC" w14:textId="77777777" w:rsidR="00EE18AE" w:rsidRDefault="00000000">
      <w:pPr>
        <w:spacing w:after="200"/>
        <w:jc w:val="center"/>
      </w:pPr>
      <w:r>
        <w:rPr>
          <w:i/>
          <w:iCs/>
          <w:color w:val="595959"/>
          <w:sz w:val="17"/>
          <w:szCs w:val="17"/>
        </w:rPr>
        <w:t>Figure 1.4 — Global FX turnover, almost entirely OTC, reached $7.5 trillion per day in April 2022 — nearly double its 2010 level. Source: BIS Triennial Central Bank Survey.</w:t>
      </w:r>
    </w:p>
    <w:p w14:paraId="08BC9900" w14:textId="77777777" w:rsidR="00EE18AE" w:rsidRDefault="00000000">
      <w:pPr>
        <w:spacing w:after="120"/>
      </w:pPr>
      <w:r>
        <w:t>By comparison, combined global equity exchange turnover — while large in absolute terms — is a small fraction of daily FX turnover, illustrating how much of global financial activity happens away from a public, lit order book.</w:t>
      </w:r>
    </w:p>
    <w:p w14:paraId="464652D1" w14:textId="77777777" w:rsidR="00EE18AE" w:rsidRDefault="00000000">
      <w:pPr>
        <w:pStyle w:val="Heading2"/>
        <w:spacing w:before="260"/>
      </w:pPr>
      <w:bookmarkStart w:id="11" w:name="_Toc239542906"/>
      <w:r>
        <w:t>1.7 Central Clearing &amp; the CCP — Why Novation Exists</w:t>
      </w:r>
      <w:bookmarkEnd w:id="11"/>
    </w:p>
    <w:p w14:paraId="12E3F026" w14:textId="77777777" w:rsidR="00EE18AE" w:rsidRDefault="00000000">
      <w:pPr>
        <w:spacing w:after="120"/>
      </w:pPr>
      <w:r>
        <w:t>Central clearing solves a specific problem: bilateral counterparty risk. Without a CCP, if you buy a future from Counterparty A, you are exposed to A's solvency until the contract expires or you close the position. With a CCP, the moment your trade is confirmed, the CCP legally substitutes itself as your counterparty (a process called novation) — you are now exposed to the CCP, not to A, and A is exposed to the CCP, not to you.</w:t>
      </w:r>
    </w:p>
    <w:p w14:paraId="4D809B93" w14:textId="77777777" w:rsidR="00EE18AE" w:rsidRDefault="00000000">
      <w:pPr>
        <w:pStyle w:val="ListParagraph"/>
        <w:numPr>
          <w:ilvl w:val="0"/>
          <w:numId w:val="2"/>
        </w:numPr>
        <w:spacing w:after="40"/>
      </w:pPr>
      <w:r>
        <w:rPr>
          <w:b/>
          <w:bCs/>
          <w:sz w:val="20"/>
          <w:szCs w:val="20"/>
        </w:rPr>
        <w:t xml:space="preserve">Initial margin: </w:t>
      </w:r>
      <w:r>
        <w:rPr>
          <w:sz w:val="20"/>
          <w:szCs w:val="20"/>
        </w:rPr>
        <w:t>Collateral posted upfront, sized to cover the CCP's expected worst-case loss on the position over the time it would take to close it out if you defaulted (commonly calibrated to a 1–5 day, 99%+ confidence loss).</w:t>
      </w:r>
    </w:p>
    <w:p w14:paraId="59DD31F7" w14:textId="77777777" w:rsidR="00EE18AE" w:rsidRDefault="00000000">
      <w:pPr>
        <w:pStyle w:val="ListParagraph"/>
        <w:numPr>
          <w:ilvl w:val="0"/>
          <w:numId w:val="2"/>
        </w:numPr>
        <w:spacing w:after="40"/>
      </w:pPr>
      <w:r>
        <w:rPr>
          <w:b/>
          <w:bCs/>
          <w:sz w:val="20"/>
          <w:szCs w:val="20"/>
        </w:rPr>
        <w:t xml:space="preserve">Variation margin: </w:t>
      </w:r>
      <w:r>
        <w:rPr>
          <w:sz w:val="20"/>
          <w:szCs w:val="20"/>
        </w:rPr>
        <w:t>Collateral exchanged daily (sometimes intraday) to cover the mark-to-market change in the position's value — this is what keeps a CCP's own exposure close to zero at all times.</w:t>
      </w:r>
    </w:p>
    <w:p w14:paraId="15D2A939" w14:textId="77777777" w:rsidR="00EE18AE" w:rsidRDefault="00000000">
      <w:pPr>
        <w:pStyle w:val="ListParagraph"/>
        <w:numPr>
          <w:ilvl w:val="0"/>
          <w:numId w:val="2"/>
        </w:numPr>
        <w:spacing w:after="40"/>
      </w:pPr>
      <w:r>
        <w:rPr>
          <w:b/>
          <w:bCs/>
          <w:sz w:val="20"/>
          <w:szCs w:val="20"/>
        </w:rPr>
        <w:t xml:space="preserve">Default fund / mutualisation: </w:t>
      </w:r>
      <w:r>
        <w:rPr>
          <w:sz w:val="20"/>
          <w:szCs w:val="20"/>
        </w:rPr>
        <w:t>A pooled resource, funded by all clearing members, that absorbs losses beyond a defaulting member's own margin — the mechanism that makes a CCP's guarantee credible even in extreme scenarios.</w:t>
      </w:r>
    </w:p>
    <w:p w14:paraId="4DB2B70A" w14:textId="77777777" w:rsidR="00EE18AE" w:rsidRDefault="00000000">
      <w:pPr>
        <w:pBdr>
          <w:left w:val="single" w:sz="24" w:space="8" w:color="C0392B"/>
        </w:pBdr>
        <w:shd w:val="clear" w:color="auto" w:fill="FCECEC"/>
        <w:spacing w:before="120" w:after="40"/>
      </w:pPr>
      <w:r>
        <w:rPr>
          <w:b/>
          <w:bCs/>
          <w:color w:val="C0392B"/>
          <w:sz w:val="20"/>
          <w:szCs w:val="20"/>
        </w:rPr>
        <w:t>⚠  Post-2008 reform: why so much OTC trading is now centrally cleared</w:t>
      </w:r>
    </w:p>
    <w:p w14:paraId="5C24D179" w14:textId="77777777" w:rsidR="00EE18AE" w:rsidRDefault="00000000">
      <w:pPr>
        <w:pStyle w:val="ListParagraph"/>
        <w:numPr>
          <w:ilvl w:val="0"/>
          <w:numId w:val="2"/>
        </w:numPr>
        <w:pBdr>
          <w:left w:val="single" w:sz="24" w:space="8" w:color="C0392B"/>
        </w:pBdr>
        <w:shd w:val="clear" w:color="auto" w:fill="FCECEC"/>
        <w:spacing w:after="40"/>
      </w:pPr>
      <w:r>
        <w:rPr>
          <w:sz w:val="20"/>
          <w:szCs w:val="20"/>
        </w:rPr>
        <w:t>Before the 2008 financial crisis, most OTC derivatives (interest-rate swaps, credit default swaps) settled bilaterally with no CCP — a key reason AIG's default risk propagated so widely through the system.</w:t>
      </w:r>
    </w:p>
    <w:p w14:paraId="0B84FCCE" w14:textId="77777777" w:rsidR="00EE18AE" w:rsidRDefault="00000000">
      <w:pPr>
        <w:pStyle w:val="ListParagraph"/>
        <w:numPr>
          <w:ilvl w:val="0"/>
          <w:numId w:val="2"/>
        </w:numPr>
        <w:pBdr>
          <w:left w:val="single" w:sz="24" w:space="8" w:color="C0392B"/>
        </w:pBdr>
        <w:shd w:val="clear" w:color="auto" w:fill="FCECEC"/>
        <w:spacing w:after="40"/>
      </w:pPr>
      <w:r>
        <w:rPr>
          <w:sz w:val="20"/>
          <w:szCs w:val="20"/>
        </w:rPr>
        <w:t>The 2009 G20 Pittsburgh commitments required standardised OTC derivatives to be centrally cleared; in the US this was implemented via Title VII of the Dodd-Frank Act, and in the EU via EMIR (the European Market Infrastructure Regulation).</w:t>
      </w:r>
    </w:p>
    <w:p w14:paraId="07E32941" w14:textId="77777777" w:rsidR="00EE18AE" w:rsidRDefault="00000000">
      <w:pPr>
        <w:pStyle w:val="ListParagraph"/>
        <w:numPr>
          <w:ilvl w:val="0"/>
          <w:numId w:val="2"/>
        </w:numPr>
        <w:pBdr>
          <w:left w:val="single" w:sz="24" w:space="8" w:color="C0392B"/>
        </w:pBdr>
        <w:shd w:val="clear" w:color="auto" w:fill="FCECEC"/>
        <w:spacing w:after="40"/>
      </w:pPr>
      <w:r>
        <w:rPr>
          <w:sz w:val="20"/>
          <w:szCs w:val="20"/>
        </w:rPr>
        <w:t>The practical effect for a modern quant: a large and growing share of what used to be purely bilateral OTC risk (e.g. standard interest-rate swaps) now flows through the same CCP-novation mechanism as exchange-listed futures.</w:t>
      </w:r>
    </w:p>
    <w:p w14:paraId="30B261DB" w14:textId="77777777" w:rsidR="00EE18AE" w:rsidRDefault="00EE18AE">
      <w:pPr>
        <w:spacing w:after="80"/>
      </w:pPr>
    </w:p>
    <w:p w14:paraId="4660CDB9" w14:textId="77777777" w:rsidR="00EE18AE" w:rsidRDefault="00000000">
      <w:pPr>
        <w:pStyle w:val="Heading2"/>
        <w:spacing w:before="260"/>
      </w:pPr>
      <w:bookmarkStart w:id="12" w:name="_Toc239542907"/>
      <w:r>
        <w:lastRenderedPageBreak/>
        <w:t>1.8 Worked Exercise — Model Answer</w:t>
      </w:r>
      <w:bookmarkEnd w:id="12"/>
    </w:p>
    <w:p w14:paraId="0AC110C5" w14:textId="77777777" w:rsidR="00EE18AE" w:rsidRDefault="00000000">
      <w:pPr>
        <w:spacing w:after="160"/>
      </w:pPr>
      <w:r>
        <w:rPr>
          <w:i/>
          <w:iCs/>
          <w:color w:val="595959"/>
        </w:rPr>
        <w:t>Exercise: Compare how a trade in a listed equity, an OTC FX forward, and a centrally-cleared future differs from order placement to settlement.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2680"/>
        <w:gridCol w:w="2680"/>
      </w:tblGrid>
      <w:tr w:rsidR="00EE18AE" w14:paraId="243F6339" w14:textId="77777777">
        <w:tblPrEx>
          <w:tblCellMar>
            <w:top w:w="0" w:type="dxa"/>
            <w:bottom w:w="0" w:type="dxa"/>
          </w:tblCellMar>
        </w:tblPrEx>
        <w:trPr>
          <w:tblHeader/>
        </w:trPr>
        <w:tc>
          <w:tcPr>
            <w:tcW w:w="1500" w:type="dxa"/>
            <w:shd w:val="clear" w:color="auto" w:fill="1F3864"/>
            <w:tcMar>
              <w:top w:w="60" w:type="dxa"/>
              <w:left w:w="100" w:type="dxa"/>
              <w:bottom w:w="60" w:type="dxa"/>
              <w:right w:w="100" w:type="dxa"/>
            </w:tcMar>
            <w:vAlign w:val="center"/>
          </w:tcPr>
          <w:p w14:paraId="2BAD11E3" w14:textId="77777777" w:rsidR="00EE18AE" w:rsidRDefault="00000000">
            <w:r>
              <w:rPr>
                <w:b/>
                <w:bCs/>
                <w:color w:val="FFFFFF"/>
                <w:sz w:val="19"/>
                <w:szCs w:val="19"/>
              </w:rPr>
              <w:t>Stage</w:t>
            </w:r>
          </w:p>
        </w:tc>
        <w:tc>
          <w:tcPr>
            <w:tcW w:w="2500" w:type="dxa"/>
            <w:shd w:val="clear" w:color="auto" w:fill="1F3864"/>
            <w:tcMar>
              <w:top w:w="60" w:type="dxa"/>
              <w:left w:w="100" w:type="dxa"/>
              <w:bottom w:w="60" w:type="dxa"/>
              <w:right w:w="100" w:type="dxa"/>
            </w:tcMar>
            <w:vAlign w:val="center"/>
          </w:tcPr>
          <w:p w14:paraId="2993ED69" w14:textId="77777777" w:rsidR="00EE18AE" w:rsidRDefault="00000000">
            <w:r>
              <w:rPr>
                <w:b/>
                <w:bCs/>
                <w:color w:val="FFFFFF"/>
                <w:sz w:val="19"/>
                <w:szCs w:val="19"/>
              </w:rPr>
              <w:t>Listed Equity (e.g. AAPL on Nasdaq)</w:t>
            </w:r>
          </w:p>
        </w:tc>
        <w:tc>
          <w:tcPr>
            <w:tcW w:w="2680" w:type="dxa"/>
            <w:shd w:val="clear" w:color="auto" w:fill="1F3864"/>
            <w:tcMar>
              <w:top w:w="60" w:type="dxa"/>
              <w:left w:w="100" w:type="dxa"/>
              <w:bottom w:w="60" w:type="dxa"/>
              <w:right w:w="100" w:type="dxa"/>
            </w:tcMar>
            <w:vAlign w:val="center"/>
          </w:tcPr>
          <w:p w14:paraId="2B07949C" w14:textId="77777777" w:rsidR="00EE18AE" w:rsidRDefault="00000000">
            <w:r>
              <w:rPr>
                <w:b/>
                <w:bCs/>
                <w:color w:val="FFFFFF"/>
                <w:sz w:val="19"/>
                <w:szCs w:val="19"/>
              </w:rPr>
              <w:t>OTC FX Forward (e.g. 3-month EUR/USD)</w:t>
            </w:r>
          </w:p>
        </w:tc>
        <w:tc>
          <w:tcPr>
            <w:tcW w:w="2680" w:type="dxa"/>
            <w:shd w:val="clear" w:color="auto" w:fill="1F3864"/>
            <w:tcMar>
              <w:top w:w="60" w:type="dxa"/>
              <w:left w:w="100" w:type="dxa"/>
              <w:bottom w:w="60" w:type="dxa"/>
              <w:right w:w="100" w:type="dxa"/>
            </w:tcMar>
            <w:vAlign w:val="center"/>
          </w:tcPr>
          <w:p w14:paraId="5CDCF8BD" w14:textId="77777777" w:rsidR="00EE18AE" w:rsidRDefault="00000000">
            <w:r>
              <w:rPr>
                <w:b/>
                <w:bCs/>
                <w:color w:val="FFFFFF"/>
                <w:sz w:val="19"/>
                <w:szCs w:val="19"/>
              </w:rPr>
              <w:t>Centrally-Cleared Future (e.g. CME ES)</w:t>
            </w:r>
          </w:p>
        </w:tc>
      </w:tr>
      <w:tr w:rsidR="00EE18AE" w14:paraId="65038725" w14:textId="77777777">
        <w:tblPrEx>
          <w:tblCellMar>
            <w:top w:w="0" w:type="dxa"/>
            <w:bottom w:w="0" w:type="dxa"/>
          </w:tblCellMar>
        </w:tblPrEx>
        <w:tc>
          <w:tcPr>
            <w:tcW w:w="1500" w:type="dxa"/>
            <w:tcMar>
              <w:top w:w="60" w:type="dxa"/>
              <w:left w:w="100" w:type="dxa"/>
              <w:bottom w:w="60" w:type="dxa"/>
              <w:right w:w="100" w:type="dxa"/>
            </w:tcMar>
            <w:vAlign w:val="center"/>
          </w:tcPr>
          <w:p w14:paraId="2ECE3F26" w14:textId="77777777" w:rsidR="00EE18AE" w:rsidRDefault="00000000">
            <w:r>
              <w:rPr>
                <w:sz w:val="19"/>
                <w:szCs w:val="19"/>
              </w:rPr>
              <w:t>Venue</w:t>
            </w:r>
          </w:p>
        </w:tc>
        <w:tc>
          <w:tcPr>
            <w:tcW w:w="2500" w:type="dxa"/>
            <w:tcMar>
              <w:top w:w="60" w:type="dxa"/>
              <w:left w:w="100" w:type="dxa"/>
              <w:bottom w:w="60" w:type="dxa"/>
              <w:right w:w="100" w:type="dxa"/>
            </w:tcMar>
            <w:vAlign w:val="center"/>
          </w:tcPr>
          <w:p w14:paraId="39596C8C" w14:textId="77777777" w:rsidR="00EE18AE" w:rsidRDefault="00000000">
            <w:r>
              <w:rPr>
                <w:sz w:val="19"/>
                <w:szCs w:val="19"/>
              </w:rPr>
              <w:t>Public exchange, lit central limit order book.</w:t>
            </w:r>
          </w:p>
        </w:tc>
        <w:tc>
          <w:tcPr>
            <w:tcW w:w="2680" w:type="dxa"/>
            <w:tcMar>
              <w:top w:w="60" w:type="dxa"/>
              <w:left w:w="100" w:type="dxa"/>
              <w:bottom w:w="60" w:type="dxa"/>
              <w:right w:w="100" w:type="dxa"/>
            </w:tcMar>
            <w:vAlign w:val="center"/>
          </w:tcPr>
          <w:p w14:paraId="36A6053C" w14:textId="77777777" w:rsidR="00EE18AE" w:rsidRDefault="00000000">
            <w:r>
              <w:rPr>
                <w:sz w:val="19"/>
                <w:szCs w:val="19"/>
              </w:rPr>
              <w:t>No venue — bilateral quote from a dealer (or an electronic RFQ platform).</w:t>
            </w:r>
          </w:p>
        </w:tc>
        <w:tc>
          <w:tcPr>
            <w:tcW w:w="2680" w:type="dxa"/>
            <w:tcMar>
              <w:top w:w="60" w:type="dxa"/>
              <w:left w:w="100" w:type="dxa"/>
              <w:bottom w:w="60" w:type="dxa"/>
              <w:right w:w="100" w:type="dxa"/>
            </w:tcMar>
            <w:vAlign w:val="center"/>
          </w:tcPr>
          <w:p w14:paraId="1A23A87D" w14:textId="77777777" w:rsidR="00EE18AE" w:rsidRDefault="00000000">
            <w:r>
              <w:rPr>
                <w:sz w:val="19"/>
                <w:szCs w:val="19"/>
              </w:rPr>
              <w:t>Public exchange (CME Globex), lit central limit order book.</w:t>
            </w:r>
          </w:p>
        </w:tc>
      </w:tr>
      <w:tr w:rsidR="00EE18AE" w14:paraId="3CD86FDB" w14:textId="77777777">
        <w:tblPrEx>
          <w:tblCellMar>
            <w:top w:w="0" w:type="dxa"/>
            <w:bottom w:w="0" w:type="dxa"/>
          </w:tblCellMar>
        </w:tblPrEx>
        <w:tc>
          <w:tcPr>
            <w:tcW w:w="1500" w:type="dxa"/>
            <w:shd w:val="clear" w:color="auto" w:fill="F2F2F2"/>
            <w:tcMar>
              <w:top w:w="60" w:type="dxa"/>
              <w:left w:w="100" w:type="dxa"/>
              <w:bottom w:w="60" w:type="dxa"/>
              <w:right w:w="100" w:type="dxa"/>
            </w:tcMar>
            <w:vAlign w:val="center"/>
          </w:tcPr>
          <w:p w14:paraId="53647812" w14:textId="77777777" w:rsidR="00EE18AE" w:rsidRDefault="00000000">
            <w:r>
              <w:rPr>
                <w:sz w:val="19"/>
                <w:szCs w:val="19"/>
              </w:rPr>
              <w:t>Price discovery</w:t>
            </w:r>
          </w:p>
        </w:tc>
        <w:tc>
          <w:tcPr>
            <w:tcW w:w="2500" w:type="dxa"/>
            <w:shd w:val="clear" w:color="auto" w:fill="F2F2F2"/>
            <w:tcMar>
              <w:top w:w="60" w:type="dxa"/>
              <w:left w:w="100" w:type="dxa"/>
              <w:bottom w:w="60" w:type="dxa"/>
              <w:right w:w="100" w:type="dxa"/>
            </w:tcMar>
            <w:vAlign w:val="center"/>
          </w:tcPr>
          <w:p w14:paraId="505F3E61" w14:textId="77777777" w:rsidR="00EE18AE" w:rsidRDefault="00000000">
            <w:r>
              <w:rPr>
                <w:sz w:val="19"/>
                <w:szCs w:val="19"/>
              </w:rPr>
              <w:t>Continuous, publicly displayed best bid/offer.</w:t>
            </w:r>
          </w:p>
        </w:tc>
        <w:tc>
          <w:tcPr>
            <w:tcW w:w="2680" w:type="dxa"/>
            <w:shd w:val="clear" w:color="auto" w:fill="F2F2F2"/>
            <w:tcMar>
              <w:top w:w="60" w:type="dxa"/>
              <w:left w:w="100" w:type="dxa"/>
              <w:bottom w:w="60" w:type="dxa"/>
              <w:right w:w="100" w:type="dxa"/>
            </w:tcMar>
            <w:vAlign w:val="center"/>
          </w:tcPr>
          <w:p w14:paraId="70E8E208" w14:textId="77777777" w:rsidR="00EE18AE" w:rsidRDefault="00000000">
            <w:r>
              <w:rPr>
                <w:sz w:val="19"/>
                <w:szCs w:val="19"/>
              </w:rPr>
              <w:t>Only visible to the parties who requested a quote; no consolidated public tape.</w:t>
            </w:r>
          </w:p>
        </w:tc>
        <w:tc>
          <w:tcPr>
            <w:tcW w:w="2680" w:type="dxa"/>
            <w:shd w:val="clear" w:color="auto" w:fill="F2F2F2"/>
            <w:tcMar>
              <w:top w:w="60" w:type="dxa"/>
              <w:left w:w="100" w:type="dxa"/>
              <w:bottom w:w="60" w:type="dxa"/>
              <w:right w:w="100" w:type="dxa"/>
            </w:tcMar>
            <w:vAlign w:val="center"/>
          </w:tcPr>
          <w:p w14:paraId="31344218" w14:textId="77777777" w:rsidR="00EE18AE" w:rsidRDefault="00000000">
            <w:r>
              <w:rPr>
                <w:sz w:val="19"/>
                <w:szCs w:val="19"/>
              </w:rPr>
              <w:t>Continuous, publicly displayed best bid/offer.</w:t>
            </w:r>
          </w:p>
        </w:tc>
      </w:tr>
      <w:tr w:rsidR="00EE18AE" w14:paraId="2B36F947" w14:textId="77777777">
        <w:tblPrEx>
          <w:tblCellMar>
            <w:top w:w="0" w:type="dxa"/>
            <w:bottom w:w="0" w:type="dxa"/>
          </w:tblCellMar>
        </w:tblPrEx>
        <w:tc>
          <w:tcPr>
            <w:tcW w:w="1500" w:type="dxa"/>
            <w:tcMar>
              <w:top w:w="60" w:type="dxa"/>
              <w:left w:w="100" w:type="dxa"/>
              <w:bottom w:w="60" w:type="dxa"/>
              <w:right w:w="100" w:type="dxa"/>
            </w:tcMar>
            <w:vAlign w:val="center"/>
          </w:tcPr>
          <w:p w14:paraId="5647F5EE" w14:textId="77777777" w:rsidR="00EE18AE" w:rsidRDefault="00000000">
            <w:r>
              <w:rPr>
                <w:sz w:val="19"/>
                <w:szCs w:val="19"/>
              </w:rPr>
              <w:t>Counterparty</w:t>
            </w:r>
          </w:p>
        </w:tc>
        <w:tc>
          <w:tcPr>
            <w:tcW w:w="2500" w:type="dxa"/>
            <w:tcMar>
              <w:top w:w="60" w:type="dxa"/>
              <w:left w:w="100" w:type="dxa"/>
              <w:bottom w:w="60" w:type="dxa"/>
              <w:right w:w="100" w:type="dxa"/>
            </w:tcMar>
            <w:vAlign w:val="center"/>
          </w:tcPr>
          <w:p w14:paraId="21B28F58" w14:textId="77777777" w:rsidR="00EE18AE" w:rsidRDefault="00000000">
            <w:r>
              <w:rPr>
                <w:sz w:val="19"/>
                <w:szCs w:val="19"/>
              </w:rPr>
              <w:t>Unknown anonymous counterparty matched by the exchange.</w:t>
            </w:r>
          </w:p>
        </w:tc>
        <w:tc>
          <w:tcPr>
            <w:tcW w:w="2680" w:type="dxa"/>
            <w:tcMar>
              <w:top w:w="60" w:type="dxa"/>
              <w:left w:w="100" w:type="dxa"/>
              <w:bottom w:w="60" w:type="dxa"/>
              <w:right w:w="100" w:type="dxa"/>
            </w:tcMar>
            <w:vAlign w:val="center"/>
          </w:tcPr>
          <w:p w14:paraId="5A31DB50" w14:textId="77777777" w:rsidR="00EE18AE" w:rsidRDefault="00000000">
            <w:r>
              <w:rPr>
                <w:sz w:val="19"/>
                <w:szCs w:val="19"/>
              </w:rPr>
              <w:t>The specific dealer you traded with — known and named.</w:t>
            </w:r>
          </w:p>
        </w:tc>
        <w:tc>
          <w:tcPr>
            <w:tcW w:w="2680" w:type="dxa"/>
            <w:tcMar>
              <w:top w:w="60" w:type="dxa"/>
              <w:left w:w="100" w:type="dxa"/>
              <w:bottom w:w="60" w:type="dxa"/>
              <w:right w:w="100" w:type="dxa"/>
            </w:tcMar>
            <w:vAlign w:val="center"/>
          </w:tcPr>
          <w:p w14:paraId="45B77CAE" w14:textId="77777777" w:rsidR="00EE18AE" w:rsidRDefault="00000000">
            <w:r>
              <w:rPr>
                <w:sz w:val="19"/>
                <w:szCs w:val="19"/>
              </w:rPr>
              <w:t>Unknown anonymous counterparty matched by the exchange.</w:t>
            </w:r>
          </w:p>
        </w:tc>
      </w:tr>
      <w:tr w:rsidR="00EE18AE" w14:paraId="2B2EDAC3" w14:textId="77777777">
        <w:tblPrEx>
          <w:tblCellMar>
            <w:top w:w="0" w:type="dxa"/>
            <w:bottom w:w="0" w:type="dxa"/>
          </w:tblCellMar>
        </w:tblPrEx>
        <w:tc>
          <w:tcPr>
            <w:tcW w:w="1500" w:type="dxa"/>
            <w:shd w:val="clear" w:color="auto" w:fill="F2F2F2"/>
            <w:tcMar>
              <w:top w:w="60" w:type="dxa"/>
              <w:left w:w="100" w:type="dxa"/>
              <w:bottom w:w="60" w:type="dxa"/>
              <w:right w:w="100" w:type="dxa"/>
            </w:tcMar>
            <w:vAlign w:val="center"/>
          </w:tcPr>
          <w:p w14:paraId="7705D901" w14:textId="77777777" w:rsidR="00EE18AE" w:rsidRDefault="00000000">
            <w:r>
              <w:rPr>
                <w:sz w:val="19"/>
                <w:szCs w:val="19"/>
              </w:rPr>
              <w:t>Clearing</w:t>
            </w:r>
          </w:p>
        </w:tc>
        <w:tc>
          <w:tcPr>
            <w:tcW w:w="2500" w:type="dxa"/>
            <w:shd w:val="clear" w:color="auto" w:fill="F2F2F2"/>
            <w:tcMar>
              <w:top w:w="60" w:type="dxa"/>
              <w:left w:w="100" w:type="dxa"/>
              <w:bottom w:w="60" w:type="dxa"/>
              <w:right w:w="100" w:type="dxa"/>
            </w:tcMar>
            <w:vAlign w:val="center"/>
          </w:tcPr>
          <w:p w14:paraId="3662EEC1" w14:textId="77777777" w:rsidR="00EE18AE" w:rsidRDefault="00000000">
            <w:r>
              <w:rPr>
                <w:sz w:val="19"/>
                <w:szCs w:val="19"/>
              </w:rPr>
              <w:t>Novated to a CCP (e.g. NSCC) automatically and immediately.</w:t>
            </w:r>
          </w:p>
        </w:tc>
        <w:tc>
          <w:tcPr>
            <w:tcW w:w="2680" w:type="dxa"/>
            <w:shd w:val="clear" w:color="auto" w:fill="F2F2F2"/>
            <w:tcMar>
              <w:top w:w="60" w:type="dxa"/>
              <w:left w:w="100" w:type="dxa"/>
              <w:bottom w:w="60" w:type="dxa"/>
              <w:right w:w="100" w:type="dxa"/>
            </w:tcMar>
            <w:vAlign w:val="center"/>
          </w:tcPr>
          <w:p w14:paraId="0C6E3177" w14:textId="77777777" w:rsidR="00EE18AE" w:rsidRDefault="00000000">
            <w:r>
              <w:rPr>
                <w:sz w:val="19"/>
                <w:szCs w:val="19"/>
              </w:rPr>
              <w:t>Typically not novated to a CCP; bilateral credit exposure persists for the life of the forward (unless voluntarily cleared).</w:t>
            </w:r>
          </w:p>
        </w:tc>
        <w:tc>
          <w:tcPr>
            <w:tcW w:w="2680" w:type="dxa"/>
            <w:shd w:val="clear" w:color="auto" w:fill="F2F2F2"/>
            <w:tcMar>
              <w:top w:w="60" w:type="dxa"/>
              <w:left w:w="100" w:type="dxa"/>
              <w:bottom w:w="60" w:type="dxa"/>
              <w:right w:w="100" w:type="dxa"/>
            </w:tcMar>
            <w:vAlign w:val="center"/>
          </w:tcPr>
          <w:p w14:paraId="7A6C636A" w14:textId="77777777" w:rsidR="00EE18AE" w:rsidRDefault="00000000">
            <w:r>
              <w:rPr>
                <w:sz w:val="19"/>
                <w:szCs w:val="19"/>
              </w:rPr>
              <w:t>Novated to CME Clearing (a CCP) immediately upon execution.</w:t>
            </w:r>
          </w:p>
        </w:tc>
      </w:tr>
      <w:tr w:rsidR="00EE18AE" w14:paraId="6B89AA8E" w14:textId="77777777">
        <w:tblPrEx>
          <w:tblCellMar>
            <w:top w:w="0" w:type="dxa"/>
            <w:bottom w:w="0" w:type="dxa"/>
          </w:tblCellMar>
        </w:tblPrEx>
        <w:tc>
          <w:tcPr>
            <w:tcW w:w="1500" w:type="dxa"/>
            <w:tcMar>
              <w:top w:w="60" w:type="dxa"/>
              <w:left w:w="100" w:type="dxa"/>
              <w:bottom w:w="60" w:type="dxa"/>
              <w:right w:w="100" w:type="dxa"/>
            </w:tcMar>
            <w:vAlign w:val="center"/>
          </w:tcPr>
          <w:p w14:paraId="3F8B2B0E" w14:textId="77777777" w:rsidR="00EE18AE" w:rsidRDefault="00000000">
            <w:r>
              <w:rPr>
                <w:sz w:val="19"/>
                <w:szCs w:val="19"/>
              </w:rPr>
              <w:t>Margin</w:t>
            </w:r>
          </w:p>
        </w:tc>
        <w:tc>
          <w:tcPr>
            <w:tcW w:w="2500" w:type="dxa"/>
            <w:tcMar>
              <w:top w:w="60" w:type="dxa"/>
              <w:left w:w="100" w:type="dxa"/>
              <w:bottom w:w="60" w:type="dxa"/>
              <w:right w:w="100" w:type="dxa"/>
            </w:tcMar>
            <w:vAlign w:val="center"/>
          </w:tcPr>
          <w:p w14:paraId="58FF851C" w14:textId="77777777" w:rsidR="00EE18AE" w:rsidRDefault="00000000">
            <w:r>
              <w:rPr>
                <w:sz w:val="19"/>
                <w:szCs w:val="19"/>
              </w:rPr>
              <w:t>None for a fully-paid cash purchase; margin applies only if bought on margin.</w:t>
            </w:r>
          </w:p>
        </w:tc>
        <w:tc>
          <w:tcPr>
            <w:tcW w:w="2680" w:type="dxa"/>
            <w:tcMar>
              <w:top w:w="60" w:type="dxa"/>
              <w:left w:w="100" w:type="dxa"/>
              <w:bottom w:w="60" w:type="dxa"/>
              <w:right w:w="100" w:type="dxa"/>
            </w:tcMar>
            <w:vAlign w:val="center"/>
          </w:tcPr>
          <w:p w14:paraId="5DA278E2" w14:textId="77777777" w:rsidR="00EE18AE" w:rsidRDefault="00000000">
            <w:r>
              <w:rPr>
                <w:sz w:val="19"/>
                <w:szCs w:val="19"/>
              </w:rPr>
              <w:t>Bilateral collateral (if any) governed by a negotiated ISDA CSA — terms vary by counterparty.</w:t>
            </w:r>
          </w:p>
        </w:tc>
        <w:tc>
          <w:tcPr>
            <w:tcW w:w="2680" w:type="dxa"/>
            <w:tcMar>
              <w:top w:w="60" w:type="dxa"/>
              <w:left w:w="100" w:type="dxa"/>
              <w:bottom w:w="60" w:type="dxa"/>
              <w:right w:w="100" w:type="dxa"/>
            </w:tcMar>
            <w:vAlign w:val="center"/>
          </w:tcPr>
          <w:p w14:paraId="3D045DA7" w14:textId="77777777" w:rsidR="00EE18AE" w:rsidRDefault="00000000">
            <w:r>
              <w:rPr>
                <w:sz w:val="19"/>
                <w:szCs w:val="19"/>
              </w:rPr>
              <w:t>Initial margin posted to the CCP at trade inception; variation margin daily.</w:t>
            </w:r>
          </w:p>
        </w:tc>
      </w:tr>
      <w:tr w:rsidR="00EE18AE" w14:paraId="323D031F" w14:textId="77777777">
        <w:tblPrEx>
          <w:tblCellMar>
            <w:top w:w="0" w:type="dxa"/>
            <w:bottom w:w="0" w:type="dxa"/>
          </w:tblCellMar>
        </w:tblPrEx>
        <w:tc>
          <w:tcPr>
            <w:tcW w:w="1500" w:type="dxa"/>
            <w:shd w:val="clear" w:color="auto" w:fill="F2F2F2"/>
            <w:tcMar>
              <w:top w:w="60" w:type="dxa"/>
              <w:left w:w="100" w:type="dxa"/>
              <w:bottom w:w="60" w:type="dxa"/>
              <w:right w:w="100" w:type="dxa"/>
            </w:tcMar>
            <w:vAlign w:val="center"/>
          </w:tcPr>
          <w:p w14:paraId="1B60F017" w14:textId="77777777" w:rsidR="00EE18AE" w:rsidRDefault="00000000">
            <w:r>
              <w:rPr>
                <w:sz w:val="19"/>
                <w:szCs w:val="19"/>
              </w:rPr>
              <w:t>Settlement</w:t>
            </w:r>
          </w:p>
        </w:tc>
        <w:tc>
          <w:tcPr>
            <w:tcW w:w="2500" w:type="dxa"/>
            <w:shd w:val="clear" w:color="auto" w:fill="F2F2F2"/>
            <w:tcMar>
              <w:top w:w="60" w:type="dxa"/>
              <w:left w:w="100" w:type="dxa"/>
              <w:bottom w:w="60" w:type="dxa"/>
              <w:right w:w="100" w:type="dxa"/>
            </w:tcMar>
            <w:vAlign w:val="center"/>
          </w:tcPr>
          <w:p w14:paraId="70E76869" w14:textId="77777777" w:rsidR="00EE18AE" w:rsidRDefault="00000000">
            <w:r>
              <w:rPr>
                <w:sz w:val="19"/>
                <w:szCs w:val="19"/>
              </w:rPr>
              <w:t>T+1 (US, since 28 May 2024): shares and cash exchanged via the CSD (DTC).</w:t>
            </w:r>
          </w:p>
        </w:tc>
        <w:tc>
          <w:tcPr>
            <w:tcW w:w="2680" w:type="dxa"/>
            <w:shd w:val="clear" w:color="auto" w:fill="F2F2F2"/>
            <w:tcMar>
              <w:top w:w="60" w:type="dxa"/>
              <w:left w:w="100" w:type="dxa"/>
              <w:bottom w:w="60" w:type="dxa"/>
              <w:right w:w="100" w:type="dxa"/>
            </w:tcMar>
            <w:vAlign w:val="center"/>
          </w:tcPr>
          <w:p w14:paraId="789D7DFA" w14:textId="77777777" w:rsidR="00EE18AE" w:rsidRDefault="00000000">
            <w:r>
              <w:rPr>
                <w:sz w:val="19"/>
                <w:szCs w:val="19"/>
              </w:rPr>
              <w:t>On the forward's maturity date (e.g. 3 months out) — physical delivery or cash settlement per the contract terms, paid bilaterally.</w:t>
            </w:r>
          </w:p>
        </w:tc>
        <w:tc>
          <w:tcPr>
            <w:tcW w:w="2680" w:type="dxa"/>
            <w:shd w:val="clear" w:color="auto" w:fill="F2F2F2"/>
            <w:tcMar>
              <w:top w:w="60" w:type="dxa"/>
              <w:left w:w="100" w:type="dxa"/>
              <w:bottom w:w="60" w:type="dxa"/>
              <w:right w:w="100" w:type="dxa"/>
            </w:tcMar>
            <w:vAlign w:val="center"/>
          </w:tcPr>
          <w:p w14:paraId="4CF6C6FF" w14:textId="77777777" w:rsidR="00EE18AE" w:rsidRDefault="00000000">
            <w:r>
              <w:rPr>
                <w:sz w:val="19"/>
                <w:szCs w:val="19"/>
              </w:rPr>
              <w:t>Daily mark-to-market variation margin; final settlement/delivery per the contract's expiry terms.</w:t>
            </w:r>
          </w:p>
        </w:tc>
      </w:tr>
      <w:tr w:rsidR="00EE18AE" w14:paraId="24655827" w14:textId="77777777">
        <w:tblPrEx>
          <w:tblCellMar>
            <w:top w:w="0" w:type="dxa"/>
            <w:bottom w:w="0" w:type="dxa"/>
          </w:tblCellMar>
        </w:tblPrEx>
        <w:tc>
          <w:tcPr>
            <w:tcW w:w="1500" w:type="dxa"/>
            <w:tcMar>
              <w:top w:w="60" w:type="dxa"/>
              <w:left w:w="100" w:type="dxa"/>
              <w:bottom w:w="60" w:type="dxa"/>
              <w:right w:w="100" w:type="dxa"/>
            </w:tcMar>
            <w:vAlign w:val="center"/>
          </w:tcPr>
          <w:p w14:paraId="69AD97F9" w14:textId="77777777" w:rsidR="00EE18AE" w:rsidRDefault="00000000">
            <w:r>
              <w:rPr>
                <w:sz w:val="19"/>
                <w:szCs w:val="19"/>
              </w:rPr>
              <w:t>Counterparty-risk exposure window</w:t>
            </w:r>
          </w:p>
        </w:tc>
        <w:tc>
          <w:tcPr>
            <w:tcW w:w="2500" w:type="dxa"/>
            <w:tcMar>
              <w:top w:w="60" w:type="dxa"/>
              <w:left w:w="100" w:type="dxa"/>
              <w:bottom w:w="60" w:type="dxa"/>
              <w:right w:w="100" w:type="dxa"/>
            </w:tcMar>
            <w:vAlign w:val="center"/>
          </w:tcPr>
          <w:p w14:paraId="43AC11E2" w14:textId="77777777" w:rsidR="00EE18AE" w:rsidRDefault="00000000">
            <w:r>
              <w:rPr>
                <w:sz w:val="19"/>
                <w:szCs w:val="19"/>
              </w:rPr>
              <w:t>Very short — about one business day.</w:t>
            </w:r>
          </w:p>
        </w:tc>
        <w:tc>
          <w:tcPr>
            <w:tcW w:w="2680" w:type="dxa"/>
            <w:tcMar>
              <w:top w:w="60" w:type="dxa"/>
              <w:left w:w="100" w:type="dxa"/>
              <w:bottom w:w="60" w:type="dxa"/>
              <w:right w:w="100" w:type="dxa"/>
            </w:tcMar>
            <w:vAlign w:val="center"/>
          </w:tcPr>
          <w:p w14:paraId="3B36F08E" w14:textId="77777777" w:rsidR="00EE18AE" w:rsidRDefault="00000000">
            <w:r>
              <w:rPr>
                <w:sz w:val="19"/>
                <w:szCs w:val="19"/>
              </w:rPr>
              <w:t>The full life of the forward (up to 3 months here) unless collateralised.</w:t>
            </w:r>
          </w:p>
        </w:tc>
        <w:tc>
          <w:tcPr>
            <w:tcW w:w="2680" w:type="dxa"/>
            <w:tcMar>
              <w:top w:w="60" w:type="dxa"/>
              <w:left w:w="100" w:type="dxa"/>
              <w:bottom w:w="60" w:type="dxa"/>
              <w:right w:w="100" w:type="dxa"/>
            </w:tcMar>
            <w:vAlign w:val="center"/>
          </w:tcPr>
          <w:p w14:paraId="45B74F2D" w14:textId="77777777" w:rsidR="00EE18AE" w:rsidRDefault="00000000">
            <w:r>
              <w:rPr>
                <w:sz w:val="19"/>
                <w:szCs w:val="19"/>
              </w:rPr>
              <w:t>Effectively continuous but capped daily — variation margin resets exposure to near-zero each day.</w:t>
            </w:r>
          </w:p>
        </w:tc>
      </w:tr>
    </w:tbl>
    <w:p w14:paraId="5EF38BBC" w14:textId="77777777" w:rsidR="00EE18AE" w:rsidRDefault="00000000">
      <w:pPr>
        <w:pStyle w:val="Heading2"/>
        <w:spacing w:before="260"/>
      </w:pPr>
      <w:bookmarkStart w:id="13" w:name="_Toc239542908"/>
      <w:r>
        <w:t>1.9 Common Mistakes — Why They Actually Matter</w:t>
      </w:r>
      <w:bookmarkEnd w:id="13"/>
    </w:p>
    <w:p w14:paraId="404494A5" w14:textId="77777777" w:rsidR="00EE18AE" w:rsidRDefault="00000000">
      <w:pPr>
        <w:spacing w:before="160" w:after="60"/>
      </w:pPr>
      <w:r>
        <w:rPr>
          <w:b/>
          <w:bCs/>
          <w:i/>
          <w:iCs/>
          <w:color w:val="2E5395"/>
          <w:sz w:val="22"/>
          <w:szCs w:val="22"/>
        </w:rPr>
        <w:t>Mistake: Assuming all markets are as transparent and liquid as listed equities</w:t>
      </w:r>
    </w:p>
    <w:p w14:paraId="2207669E" w14:textId="77777777" w:rsidR="00EE18AE" w:rsidRDefault="00000000">
      <w:pPr>
        <w:spacing w:after="120"/>
      </w:pPr>
      <w:r>
        <w:t>Applying an equity-market mental model (continuous public quotes, narrow spreads, deep liquidity) to an OTC market can lead to serious mispricing of both cost and risk. A learner who assumes they can always see “the market price” for a corporate bond or an OTC derivative will underestimate both the bid-ask cost of trading (see §3.5) and how much a price can move against them before they can even get a second quote.</w:t>
      </w:r>
    </w:p>
    <w:p w14:paraId="10F88BBA" w14:textId="77777777" w:rsidR="00EE18AE" w:rsidRDefault="00000000">
      <w:pPr>
        <w:spacing w:before="160" w:after="60"/>
      </w:pPr>
      <w:r>
        <w:rPr>
          <w:b/>
          <w:bCs/>
          <w:i/>
          <w:iCs/>
          <w:color w:val="2E5395"/>
          <w:sz w:val="22"/>
          <w:szCs w:val="22"/>
        </w:rPr>
        <w:t>Mistake: Ignoring settlement/clearing timelines when reasoning about risk</w:t>
      </w:r>
    </w:p>
    <w:p w14:paraId="2A150742" w14:textId="77777777" w:rsidR="00EE18AE" w:rsidRDefault="00000000">
      <w:pPr>
        <w:pBdr>
          <w:left w:val="single" w:sz="24" w:space="8" w:color="C0392B"/>
        </w:pBdr>
        <w:shd w:val="clear" w:color="auto" w:fill="FCECEC"/>
        <w:spacing w:before="120" w:after="40"/>
      </w:pPr>
      <w:r>
        <w:rPr>
          <w:b/>
          <w:bCs/>
          <w:color w:val="C0392B"/>
          <w:sz w:val="20"/>
          <w:szCs w:val="20"/>
        </w:rPr>
        <w:t xml:space="preserve">⚠  Case study: </w:t>
      </w:r>
      <w:proofErr w:type="spellStart"/>
      <w:r>
        <w:rPr>
          <w:b/>
          <w:bCs/>
          <w:color w:val="C0392B"/>
          <w:sz w:val="20"/>
          <w:szCs w:val="20"/>
        </w:rPr>
        <w:t>Herstatt</w:t>
      </w:r>
      <w:proofErr w:type="spellEnd"/>
      <w:r>
        <w:rPr>
          <w:b/>
          <w:bCs/>
          <w:color w:val="C0392B"/>
          <w:sz w:val="20"/>
          <w:szCs w:val="20"/>
        </w:rPr>
        <w:t xml:space="preserve"> risk</w:t>
      </w:r>
    </w:p>
    <w:p w14:paraId="03C43AA8" w14:textId="77777777" w:rsidR="00EE18AE" w:rsidRDefault="00000000">
      <w:pPr>
        <w:pStyle w:val="ListParagraph"/>
        <w:numPr>
          <w:ilvl w:val="0"/>
          <w:numId w:val="2"/>
        </w:numPr>
        <w:pBdr>
          <w:left w:val="single" w:sz="24" w:space="8" w:color="C0392B"/>
        </w:pBdr>
        <w:shd w:val="clear" w:color="auto" w:fill="FCECEC"/>
        <w:spacing w:after="40"/>
      </w:pPr>
      <w:r>
        <w:rPr>
          <w:sz w:val="20"/>
          <w:szCs w:val="20"/>
        </w:rPr>
        <w:t xml:space="preserve">In 1974, Germany's </w:t>
      </w:r>
      <w:proofErr w:type="spellStart"/>
      <w:r>
        <w:rPr>
          <w:sz w:val="20"/>
          <w:szCs w:val="20"/>
        </w:rPr>
        <w:t>Herstatt</w:t>
      </w:r>
      <w:proofErr w:type="spellEnd"/>
      <w:r>
        <w:rPr>
          <w:sz w:val="20"/>
          <w:szCs w:val="20"/>
        </w:rPr>
        <w:t xml:space="preserve"> Bank was closed by regulators mid-day — after it had received Deutschmark payments from FX counterparties but before it had made the corresponding US-dollar payments in New York (due to time-zone settlement gaps). Counterparties lost the dollar leg entirely.</w:t>
      </w:r>
    </w:p>
    <w:p w14:paraId="1A0B040B" w14:textId="77777777" w:rsidR="00EE18AE" w:rsidRDefault="00000000">
      <w:pPr>
        <w:pStyle w:val="ListParagraph"/>
        <w:numPr>
          <w:ilvl w:val="0"/>
          <w:numId w:val="2"/>
        </w:numPr>
        <w:pBdr>
          <w:left w:val="single" w:sz="24" w:space="8" w:color="C0392B"/>
        </w:pBdr>
        <w:shd w:val="clear" w:color="auto" w:fill="FCECEC"/>
        <w:spacing w:after="40"/>
      </w:pPr>
      <w:r>
        <w:rPr>
          <w:sz w:val="20"/>
          <w:szCs w:val="20"/>
        </w:rPr>
        <w:t>This is the origin of the term “</w:t>
      </w:r>
      <w:proofErr w:type="spellStart"/>
      <w:r>
        <w:rPr>
          <w:sz w:val="20"/>
          <w:szCs w:val="20"/>
        </w:rPr>
        <w:t>Herstatt</w:t>
      </w:r>
      <w:proofErr w:type="spellEnd"/>
      <w:r>
        <w:rPr>
          <w:sz w:val="20"/>
          <w:szCs w:val="20"/>
        </w:rPr>
        <w:t xml:space="preserve"> risk” — settlement risk arising from the time lag between when one side of a trade is paid and when the other side is paid — and it directly motivated the creation of CLS Bank, which today settles the majority of global FX trades on a payment-versus-payment (PvP) basis specifically to eliminate this gap.</w:t>
      </w:r>
    </w:p>
    <w:p w14:paraId="33A6D8A3" w14:textId="77777777" w:rsidR="00EE18AE" w:rsidRDefault="00EE18AE">
      <w:pPr>
        <w:spacing w:after="80"/>
      </w:pPr>
    </w:p>
    <w:p w14:paraId="22D1B95D" w14:textId="77777777" w:rsidR="00EE18AE" w:rsidRDefault="00000000">
      <w:pPr>
        <w:pStyle w:val="Heading2"/>
        <w:spacing w:before="260"/>
      </w:pPr>
      <w:bookmarkStart w:id="14" w:name="_Toc239542909"/>
      <w:r>
        <w:lastRenderedPageBreak/>
        <w:t>1.10 Professional Applications</w:t>
      </w:r>
      <w:bookmarkEnd w:id="14"/>
    </w:p>
    <w:p w14:paraId="62C0D796" w14:textId="77777777" w:rsidR="00EE18AE" w:rsidRDefault="00000000">
      <w:pPr>
        <w:pStyle w:val="ListParagraph"/>
        <w:numPr>
          <w:ilvl w:val="0"/>
          <w:numId w:val="2"/>
        </w:numPr>
        <w:spacing w:after="40"/>
      </w:pPr>
      <w:r>
        <w:rPr>
          <w:b/>
          <w:bCs/>
          <w:sz w:val="20"/>
          <w:szCs w:val="20"/>
        </w:rPr>
        <w:t xml:space="preserve">Venue selection for execution algorithms: </w:t>
      </w:r>
      <w:r>
        <w:rPr>
          <w:sz w:val="20"/>
          <w:szCs w:val="20"/>
        </w:rPr>
        <w:t>A smart order router must know, in real time, which venues (lit exchange, dark ATS, or an internal crossing network) are likely to offer the best combination of price and low market impact for a given order — this is only possible with a solid model of market structure.</w:t>
      </w:r>
    </w:p>
    <w:p w14:paraId="1B1B752E" w14:textId="77777777" w:rsidR="00EE18AE" w:rsidRDefault="00000000">
      <w:pPr>
        <w:pStyle w:val="ListParagraph"/>
        <w:numPr>
          <w:ilvl w:val="0"/>
          <w:numId w:val="2"/>
        </w:numPr>
        <w:spacing w:after="40"/>
      </w:pPr>
      <w:r>
        <w:rPr>
          <w:b/>
          <w:bCs/>
          <w:sz w:val="20"/>
          <w:szCs w:val="20"/>
        </w:rPr>
        <w:t xml:space="preserve">Counterparty risk assessment: </w:t>
      </w:r>
      <w:r>
        <w:rPr>
          <w:sz w:val="20"/>
          <w:szCs w:val="20"/>
        </w:rPr>
        <w:t>Risk teams size credit exposure differently for a CCP-novated position (limited, collateralised, daily-reset exposure) versus a bilateral OTC position (exposure that can accumulate over the life of the trade).</w:t>
      </w:r>
    </w:p>
    <w:p w14:paraId="076B1778" w14:textId="77777777" w:rsidR="00EE18AE" w:rsidRDefault="00000000">
      <w:pPr>
        <w:pStyle w:val="ListParagraph"/>
        <w:numPr>
          <w:ilvl w:val="0"/>
          <w:numId w:val="2"/>
        </w:numPr>
        <w:spacing w:after="40"/>
      </w:pPr>
      <w:r>
        <w:rPr>
          <w:b/>
          <w:bCs/>
          <w:sz w:val="20"/>
          <w:szCs w:val="20"/>
        </w:rPr>
        <w:t xml:space="preserve">Regulatory reporting: </w:t>
      </w:r>
      <w:r>
        <w:rPr>
          <w:sz w:val="20"/>
          <w:szCs w:val="20"/>
        </w:rPr>
        <w:t>Post-Dodd-Frank/EMIR, firms must report standardised derivatives trades to trade repositories and, in many cases, clear them centrally — a direct compliance consequence of the market-structure distinctions covered in this section.</w:t>
      </w:r>
    </w:p>
    <w:p w14:paraId="326FFB16" w14:textId="77777777" w:rsidR="00EE18AE" w:rsidRDefault="00000000">
      <w:pPr>
        <w:pStyle w:val="Heading1"/>
        <w:pageBreakBefore/>
        <w:spacing w:after="200"/>
      </w:pPr>
      <w:bookmarkStart w:id="15" w:name="_Toc239542910"/>
      <w:r>
        <w:lastRenderedPageBreak/>
        <w:t>2. Asset Classes  (Level 1)</w:t>
      </w:r>
      <w:bookmarkEnd w:id="15"/>
    </w:p>
    <w:p w14:paraId="0D004014" w14:textId="77777777" w:rsidR="00EE18AE" w:rsidRDefault="00000000">
      <w:pPr>
        <w:spacing w:after="160"/>
      </w:pPr>
      <w:r>
        <w:rPr>
          <w:b/>
          <w:bCs/>
          <w:sz w:val="20"/>
          <w:szCs w:val="20"/>
        </w:rPr>
        <w:t xml:space="preserve">Covers: </w:t>
      </w:r>
      <w:r>
        <w:rPr>
          <w:i/>
          <w:iCs/>
          <w:sz w:val="20"/>
          <w:szCs w:val="20"/>
        </w:rPr>
        <w:t>Equities · ETFs · fixed income · FX · commodities · futures · options · swaps · structured products · crypto · perpetual futures · DeFi/tokenised assets</w:t>
      </w:r>
    </w:p>
    <w:p w14:paraId="5DA704DF" w14:textId="77777777" w:rsidR="00EE18AE" w:rsidRDefault="00000000">
      <w:pPr>
        <w:pStyle w:val="Heading2"/>
        <w:spacing w:before="260"/>
      </w:pPr>
      <w:bookmarkStart w:id="16" w:name="_Toc239542911"/>
      <w:r>
        <w:t>2.1 Learning Position at a Glance</w:t>
      </w:r>
      <w:bookmarkEnd w:id="16"/>
    </w:p>
    <w:p w14:paraId="6B72D565" w14:textId="77777777" w:rsidR="00EE18AE" w:rsidRDefault="00000000">
      <w:pPr>
        <w:pStyle w:val="ListParagraph"/>
        <w:numPr>
          <w:ilvl w:val="0"/>
          <w:numId w:val="2"/>
        </w:numPr>
        <w:spacing w:after="40"/>
      </w:pPr>
      <w:r>
        <w:rPr>
          <w:b/>
          <w:bCs/>
          <w:sz w:val="20"/>
          <w:szCs w:val="20"/>
        </w:rPr>
        <w:t xml:space="preserve">What it is: </w:t>
      </w:r>
      <w:r>
        <w:rPr>
          <w:sz w:val="20"/>
          <w:szCs w:val="20"/>
        </w:rPr>
        <w:t>The instruments themselves — their payoff structure, how they are quoted, and what risk factors drive their value.</w:t>
      </w:r>
    </w:p>
    <w:p w14:paraId="2F718398" w14:textId="77777777" w:rsidR="00EE18AE" w:rsidRDefault="00000000">
      <w:pPr>
        <w:pStyle w:val="ListParagraph"/>
        <w:numPr>
          <w:ilvl w:val="0"/>
          <w:numId w:val="2"/>
        </w:numPr>
        <w:spacing w:after="40"/>
      </w:pPr>
      <w:r>
        <w:rPr>
          <w:b/>
          <w:bCs/>
          <w:sz w:val="20"/>
          <w:szCs w:val="20"/>
        </w:rPr>
        <w:t xml:space="preserve">Why it matters: </w:t>
      </w:r>
      <w:r>
        <w:rPr>
          <w:sz w:val="20"/>
          <w:szCs w:val="20"/>
        </w:rPr>
        <w:t>Strategy design, risk modelling and even simple return calculation differ meaningfully by asset class (e.g. bond price/yield conventions vs equity returns).</w:t>
      </w:r>
    </w:p>
    <w:p w14:paraId="30D23A75" w14:textId="77777777" w:rsidR="00EE18AE" w:rsidRDefault="00000000">
      <w:pPr>
        <w:pStyle w:val="ListParagraph"/>
        <w:numPr>
          <w:ilvl w:val="0"/>
          <w:numId w:val="2"/>
        </w:numPr>
        <w:spacing w:after="40"/>
      </w:pPr>
      <w:r>
        <w:rPr>
          <w:b/>
          <w:bCs/>
          <w:sz w:val="20"/>
          <w:szCs w:val="20"/>
        </w:rPr>
        <w:t xml:space="preserve">Prerequisites: </w:t>
      </w:r>
      <w:r>
        <w:rPr>
          <w:sz w:val="20"/>
          <w:szCs w:val="20"/>
        </w:rPr>
        <w:t>Financial Market Structure (§1).</w:t>
      </w:r>
    </w:p>
    <w:p w14:paraId="0C1964FC" w14:textId="77777777" w:rsidR="00EE18AE" w:rsidRDefault="00000000">
      <w:pPr>
        <w:pStyle w:val="ListParagraph"/>
        <w:numPr>
          <w:ilvl w:val="0"/>
          <w:numId w:val="2"/>
        </w:numPr>
        <w:spacing w:after="40"/>
      </w:pPr>
      <w:r>
        <w:rPr>
          <w:b/>
          <w:bCs/>
          <w:sz w:val="20"/>
          <w:szCs w:val="20"/>
        </w:rPr>
        <w:t xml:space="preserve">Connects to Research: </w:t>
      </w:r>
      <w:r>
        <w:rPr>
          <w:sz w:val="20"/>
          <w:szCs w:val="20"/>
        </w:rPr>
        <w:t>Different asset classes require different feature sets and factor models (equity factors vs FX carry vs commodity term structure).</w:t>
      </w:r>
    </w:p>
    <w:p w14:paraId="4543E027" w14:textId="77777777" w:rsidR="00EE18AE" w:rsidRDefault="00000000">
      <w:pPr>
        <w:pStyle w:val="ListParagraph"/>
        <w:numPr>
          <w:ilvl w:val="0"/>
          <w:numId w:val="2"/>
        </w:numPr>
        <w:spacing w:after="40"/>
      </w:pPr>
      <w:r>
        <w:rPr>
          <w:b/>
          <w:bCs/>
          <w:sz w:val="20"/>
          <w:szCs w:val="20"/>
        </w:rPr>
        <w:t xml:space="preserve">Connects to Development: </w:t>
      </w:r>
      <w:r>
        <w:rPr>
          <w:sz w:val="20"/>
          <w:szCs w:val="20"/>
        </w:rPr>
        <w:t>Different asset classes require different data schemas, corporate-action handling, and instrument reference data.</w:t>
      </w:r>
    </w:p>
    <w:p w14:paraId="57FB1261" w14:textId="77777777" w:rsidR="00EE18AE" w:rsidRDefault="00000000">
      <w:pPr>
        <w:pStyle w:val="ListParagraph"/>
        <w:numPr>
          <w:ilvl w:val="0"/>
          <w:numId w:val="2"/>
        </w:numPr>
        <w:spacing w:after="40"/>
      </w:pPr>
      <w:r>
        <w:rPr>
          <w:b/>
          <w:bCs/>
          <w:sz w:val="20"/>
          <w:szCs w:val="20"/>
        </w:rPr>
        <w:t xml:space="preserve">Connects to Trading: </w:t>
      </w:r>
      <w:r>
        <w:rPr>
          <w:sz w:val="20"/>
          <w:szCs w:val="20"/>
        </w:rPr>
        <w:t>Different asset classes have different liquidity, trading hours and margin conventions.</w:t>
      </w:r>
    </w:p>
    <w:p w14:paraId="55FD07C0" w14:textId="77777777" w:rsidR="00EE18AE" w:rsidRDefault="00000000">
      <w:pPr>
        <w:pStyle w:val="ListParagraph"/>
        <w:numPr>
          <w:ilvl w:val="0"/>
          <w:numId w:val="2"/>
        </w:numPr>
        <w:spacing w:after="40"/>
      </w:pPr>
      <w:r>
        <w:rPr>
          <w:b/>
          <w:bCs/>
          <w:sz w:val="20"/>
          <w:szCs w:val="20"/>
        </w:rPr>
        <w:t xml:space="preserve">Practical exercise: </w:t>
      </w:r>
      <w:r>
        <w:rPr>
          <w:sz w:val="20"/>
          <w:szCs w:val="20"/>
        </w:rPr>
        <w:t>Build a reference table of 8 instruments across 5 asset classes with quoting convention, typical tick size and settlement cycle. (Expanded to 10 instruments across 8 asset classes in §2.3.)</w:t>
      </w:r>
    </w:p>
    <w:p w14:paraId="671F3BE5" w14:textId="77777777" w:rsidR="00EE18AE" w:rsidRDefault="00000000">
      <w:pPr>
        <w:pStyle w:val="ListParagraph"/>
        <w:numPr>
          <w:ilvl w:val="0"/>
          <w:numId w:val="2"/>
        </w:numPr>
        <w:spacing w:after="40"/>
      </w:pPr>
      <w:r>
        <w:rPr>
          <w:b/>
          <w:bCs/>
          <w:sz w:val="20"/>
          <w:szCs w:val="20"/>
        </w:rPr>
        <w:t xml:space="preserve">Common beginner mistakes: </w:t>
      </w:r>
    </w:p>
    <w:p w14:paraId="3449B6A7" w14:textId="77777777" w:rsidR="00EE18AE" w:rsidRDefault="00000000">
      <w:pPr>
        <w:pStyle w:val="ListParagraph"/>
        <w:numPr>
          <w:ilvl w:val="1"/>
          <w:numId w:val="2"/>
        </w:numPr>
        <w:spacing w:after="40"/>
      </w:pPr>
      <w:r>
        <w:rPr>
          <w:sz w:val="20"/>
          <w:szCs w:val="20"/>
        </w:rPr>
        <w:t>Treating bond yields like equity prices when computing returns.</w:t>
      </w:r>
    </w:p>
    <w:p w14:paraId="0AF1052E" w14:textId="77777777" w:rsidR="00EE18AE" w:rsidRDefault="00000000">
      <w:pPr>
        <w:pStyle w:val="ListParagraph"/>
        <w:numPr>
          <w:ilvl w:val="1"/>
          <w:numId w:val="2"/>
        </w:numPr>
        <w:spacing w:after="40"/>
      </w:pPr>
      <w:r>
        <w:rPr>
          <w:sz w:val="20"/>
          <w:szCs w:val="20"/>
        </w:rPr>
        <w:t>Ignoring funding/carry in perpetual futures and FX.</w:t>
      </w:r>
    </w:p>
    <w:p w14:paraId="5B606763" w14:textId="77777777" w:rsidR="00EE18AE" w:rsidRDefault="00000000">
      <w:pPr>
        <w:pStyle w:val="ListParagraph"/>
        <w:numPr>
          <w:ilvl w:val="0"/>
          <w:numId w:val="2"/>
        </w:numPr>
        <w:spacing w:after="40"/>
      </w:pPr>
      <w:r>
        <w:rPr>
          <w:b/>
          <w:bCs/>
          <w:sz w:val="20"/>
          <w:szCs w:val="20"/>
        </w:rPr>
        <w:t xml:space="preserve">Advanced extensions: </w:t>
      </w:r>
      <w:r>
        <w:rPr>
          <w:sz w:val="20"/>
          <w:szCs w:val="20"/>
        </w:rPr>
        <w:t>Structured products decomposition; DeFi/AMM mechanics as a distinct microstructure.</w:t>
      </w:r>
    </w:p>
    <w:p w14:paraId="1C6B2B37" w14:textId="77777777" w:rsidR="00EE18AE" w:rsidRDefault="00000000">
      <w:pPr>
        <w:pStyle w:val="ListParagraph"/>
        <w:numPr>
          <w:ilvl w:val="0"/>
          <w:numId w:val="2"/>
        </w:numPr>
        <w:spacing w:after="40"/>
      </w:pPr>
      <w:r>
        <w:rPr>
          <w:b/>
          <w:bCs/>
          <w:sz w:val="20"/>
          <w:szCs w:val="20"/>
        </w:rPr>
        <w:t xml:space="preserve">Professional applications: </w:t>
      </w:r>
      <w:r>
        <w:rPr>
          <w:sz w:val="20"/>
          <w:szCs w:val="20"/>
        </w:rPr>
        <w:t>Cross-asset portfolio construction; multi-asset risk aggregation.</w:t>
      </w:r>
    </w:p>
    <w:p w14:paraId="5665A62F" w14:textId="77777777" w:rsidR="00EE18AE" w:rsidRDefault="00000000">
      <w:pPr>
        <w:pStyle w:val="Heading2"/>
        <w:spacing w:before="260"/>
      </w:pPr>
      <w:bookmarkStart w:id="17" w:name="_Toc239542912"/>
      <w:r>
        <w:t>2.2 The Asset Class Landscape</w:t>
      </w:r>
      <w:bookmarkEnd w:id="17"/>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600"/>
        <w:gridCol w:w="2400"/>
        <w:gridCol w:w="2660"/>
      </w:tblGrid>
      <w:tr w:rsidR="00EE18AE" w14:paraId="57D66830" w14:textId="77777777">
        <w:tblPrEx>
          <w:tblCellMar>
            <w:top w:w="0" w:type="dxa"/>
            <w:bottom w:w="0" w:type="dxa"/>
          </w:tblCellMar>
        </w:tblPrEx>
        <w:trPr>
          <w:tblHeader/>
        </w:trPr>
        <w:tc>
          <w:tcPr>
            <w:tcW w:w="1600" w:type="dxa"/>
            <w:shd w:val="clear" w:color="auto" w:fill="1F3864"/>
            <w:tcMar>
              <w:top w:w="60" w:type="dxa"/>
              <w:left w:w="100" w:type="dxa"/>
              <w:bottom w:w="60" w:type="dxa"/>
              <w:right w:w="100" w:type="dxa"/>
            </w:tcMar>
            <w:vAlign w:val="center"/>
          </w:tcPr>
          <w:p w14:paraId="14A544AD" w14:textId="77777777" w:rsidR="00EE18AE" w:rsidRDefault="00000000">
            <w:r>
              <w:rPr>
                <w:b/>
                <w:bCs/>
                <w:color w:val="FFFFFF"/>
                <w:sz w:val="19"/>
                <w:szCs w:val="19"/>
              </w:rPr>
              <w:t>Asset Class</w:t>
            </w:r>
          </w:p>
        </w:tc>
        <w:tc>
          <w:tcPr>
            <w:tcW w:w="2600" w:type="dxa"/>
            <w:shd w:val="clear" w:color="auto" w:fill="1F3864"/>
            <w:tcMar>
              <w:top w:w="60" w:type="dxa"/>
              <w:left w:w="100" w:type="dxa"/>
              <w:bottom w:w="60" w:type="dxa"/>
              <w:right w:w="100" w:type="dxa"/>
            </w:tcMar>
            <w:vAlign w:val="center"/>
          </w:tcPr>
          <w:p w14:paraId="23484E08" w14:textId="77777777" w:rsidR="00EE18AE" w:rsidRDefault="00000000">
            <w:r>
              <w:rPr>
                <w:b/>
                <w:bCs/>
                <w:color w:val="FFFFFF"/>
                <w:sz w:val="19"/>
                <w:szCs w:val="19"/>
              </w:rPr>
              <w:t>What You Own / Are Exposed To</w:t>
            </w:r>
          </w:p>
        </w:tc>
        <w:tc>
          <w:tcPr>
            <w:tcW w:w="2400" w:type="dxa"/>
            <w:shd w:val="clear" w:color="auto" w:fill="1F3864"/>
            <w:tcMar>
              <w:top w:w="60" w:type="dxa"/>
              <w:left w:w="100" w:type="dxa"/>
              <w:bottom w:w="60" w:type="dxa"/>
              <w:right w:w="100" w:type="dxa"/>
            </w:tcMar>
            <w:vAlign w:val="center"/>
          </w:tcPr>
          <w:p w14:paraId="27E650B0" w14:textId="77777777" w:rsidR="00EE18AE" w:rsidRDefault="00000000">
            <w:r>
              <w:rPr>
                <w:b/>
                <w:bCs/>
                <w:color w:val="FFFFFF"/>
                <w:sz w:val="19"/>
                <w:szCs w:val="19"/>
              </w:rPr>
              <w:t>Primary Risk Factor(s)</w:t>
            </w:r>
          </w:p>
        </w:tc>
        <w:tc>
          <w:tcPr>
            <w:tcW w:w="2660" w:type="dxa"/>
            <w:shd w:val="clear" w:color="auto" w:fill="1F3864"/>
            <w:tcMar>
              <w:top w:w="60" w:type="dxa"/>
              <w:left w:w="100" w:type="dxa"/>
              <w:bottom w:w="60" w:type="dxa"/>
              <w:right w:w="100" w:type="dxa"/>
            </w:tcMar>
            <w:vAlign w:val="center"/>
          </w:tcPr>
          <w:p w14:paraId="49B24A3A" w14:textId="77777777" w:rsidR="00EE18AE" w:rsidRDefault="00000000">
            <w:r>
              <w:rPr>
                <w:b/>
                <w:bCs/>
                <w:color w:val="FFFFFF"/>
                <w:sz w:val="19"/>
                <w:szCs w:val="19"/>
              </w:rPr>
              <w:t>Typical Quoting Convention</w:t>
            </w:r>
          </w:p>
        </w:tc>
      </w:tr>
      <w:tr w:rsidR="00EE18AE" w14:paraId="050D6D9C" w14:textId="77777777">
        <w:tblPrEx>
          <w:tblCellMar>
            <w:top w:w="0" w:type="dxa"/>
            <w:bottom w:w="0" w:type="dxa"/>
          </w:tblCellMar>
        </w:tblPrEx>
        <w:tc>
          <w:tcPr>
            <w:tcW w:w="1600" w:type="dxa"/>
            <w:tcMar>
              <w:top w:w="60" w:type="dxa"/>
              <w:left w:w="100" w:type="dxa"/>
              <w:bottom w:w="60" w:type="dxa"/>
              <w:right w:w="100" w:type="dxa"/>
            </w:tcMar>
            <w:vAlign w:val="center"/>
          </w:tcPr>
          <w:p w14:paraId="5767E076" w14:textId="77777777" w:rsidR="00EE18AE" w:rsidRDefault="00000000">
            <w:r>
              <w:rPr>
                <w:sz w:val="19"/>
                <w:szCs w:val="19"/>
              </w:rPr>
              <w:t>Equities</w:t>
            </w:r>
          </w:p>
        </w:tc>
        <w:tc>
          <w:tcPr>
            <w:tcW w:w="2600" w:type="dxa"/>
            <w:tcMar>
              <w:top w:w="60" w:type="dxa"/>
              <w:left w:w="100" w:type="dxa"/>
              <w:bottom w:w="60" w:type="dxa"/>
              <w:right w:w="100" w:type="dxa"/>
            </w:tcMar>
            <w:vAlign w:val="center"/>
          </w:tcPr>
          <w:p w14:paraId="471B05B4" w14:textId="77777777" w:rsidR="00EE18AE" w:rsidRDefault="00000000">
            <w:r>
              <w:rPr>
                <w:sz w:val="19"/>
                <w:szCs w:val="19"/>
              </w:rPr>
              <w:t>A fractional ownership claim on a company's residual profits and assets.</w:t>
            </w:r>
          </w:p>
        </w:tc>
        <w:tc>
          <w:tcPr>
            <w:tcW w:w="2400" w:type="dxa"/>
            <w:tcMar>
              <w:top w:w="60" w:type="dxa"/>
              <w:left w:w="100" w:type="dxa"/>
              <w:bottom w:w="60" w:type="dxa"/>
              <w:right w:w="100" w:type="dxa"/>
            </w:tcMar>
            <w:vAlign w:val="center"/>
          </w:tcPr>
          <w:p w14:paraId="72B6A760" w14:textId="77777777" w:rsidR="00EE18AE" w:rsidRDefault="00000000">
            <w:r>
              <w:rPr>
                <w:sz w:val="19"/>
                <w:szCs w:val="19"/>
              </w:rPr>
              <w:t>Company-specific risk, equity market beta, sector/factor exposure.</w:t>
            </w:r>
          </w:p>
        </w:tc>
        <w:tc>
          <w:tcPr>
            <w:tcW w:w="2660" w:type="dxa"/>
            <w:tcMar>
              <w:top w:w="60" w:type="dxa"/>
              <w:left w:w="100" w:type="dxa"/>
              <w:bottom w:w="60" w:type="dxa"/>
              <w:right w:w="100" w:type="dxa"/>
            </w:tcMar>
            <w:vAlign w:val="center"/>
          </w:tcPr>
          <w:p w14:paraId="643FF7AC" w14:textId="77777777" w:rsidR="00EE18AE" w:rsidRDefault="00000000">
            <w:r>
              <w:rPr>
                <w:sz w:val="19"/>
                <w:szCs w:val="19"/>
              </w:rPr>
              <w:t>Price per share, in the local currency's smallest unit (e.g. US cents).</w:t>
            </w:r>
          </w:p>
        </w:tc>
      </w:tr>
      <w:tr w:rsidR="00EE18AE" w14:paraId="6EF2A3E7" w14:textId="77777777">
        <w:tblPrEx>
          <w:tblCellMar>
            <w:top w:w="0" w:type="dxa"/>
            <w:bottom w:w="0" w:type="dxa"/>
          </w:tblCellMar>
        </w:tblPrEx>
        <w:tc>
          <w:tcPr>
            <w:tcW w:w="1600" w:type="dxa"/>
            <w:shd w:val="clear" w:color="auto" w:fill="F2F2F2"/>
            <w:tcMar>
              <w:top w:w="60" w:type="dxa"/>
              <w:left w:w="100" w:type="dxa"/>
              <w:bottom w:w="60" w:type="dxa"/>
              <w:right w:w="100" w:type="dxa"/>
            </w:tcMar>
            <w:vAlign w:val="center"/>
          </w:tcPr>
          <w:p w14:paraId="6F32B144" w14:textId="77777777" w:rsidR="00EE18AE" w:rsidRDefault="00000000">
            <w:r>
              <w:rPr>
                <w:sz w:val="19"/>
                <w:szCs w:val="19"/>
              </w:rPr>
              <w:t>ETFs</w:t>
            </w:r>
          </w:p>
        </w:tc>
        <w:tc>
          <w:tcPr>
            <w:tcW w:w="2600" w:type="dxa"/>
            <w:shd w:val="clear" w:color="auto" w:fill="F2F2F2"/>
            <w:tcMar>
              <w:top w:w="60" w:type="dxa"/>
              <w:left w:w="100" w:type="dxa"/>
              <w:bottom w:w="60" w:type="dxa"/>
              <w:right w:w="100" w:type="dxa"/>
            </w:tcMar>
            <w:vAlign w:val="center"/>
          </w:tcPr>
          <w:p w14:paraId="06C7755E" w14:textId="77777777" w:rsidR="00EE18AE" w:rsidRDefault="00000000">
            <w:r>
              <w:rPr>
                <w:sz w:val="19"/>
                <w:szCs w:val="19"/>
              </w:rPr>
              <w:t>A claim on a basket of underlying assets (equities, bonds, commodities) via a fund wrapper, tradeable intraday like a share.</w:t>
            </w:r>
          </w:p>
        </w:tc>
        <w:tc>
          <w:tcPr>
            <w:tcW w:w="2400" w:type="dxa"/>
            <w:shd w:val="clear" w:color="auto" w:fill="F2F2F2"/>
            <w:tcMar>
              <w:top w:w="60" w:type="dxa"/>
              <w:left w:w="100" w:type="dxa"/>
              <w:bottom w:w="60" w:type="dxa"/>
              <w:right w:w="100" w:type="dxa"/>
            </w:tcMar>
            <w:vAlign w:val="center"/>
          </w:tcPr>
          <w:p w14:paraId="2CEE4DC6" w14:textId="77777777" w:rsidR="00EE18AE" w:rsidRDefault="00000000">
            <w:r>
              <w:rPr>
                <w:sz w:val="19"/>
                <w:szCs w:val="19"/>
              </w:rPr>
              <w:t>The underlying basket's risk, plus a small tracking-error/expense-ratio drag.</w:t>
            </w:r>
          </w:p>
        </w:tc>
        <w:tc>
          <w:tcPr>
            <w:tcW w:w="2660" w:type="dxa"/>
            <w:shd w:val="clear" w:color="auto" w:fill="F2F2F2"/>
            <w:tcMar>
              <w:top w:w="60" w:type="dxa"/>
              <w:left w:w="100" w:type="dxa"/>
              <w:bottom w:w="60" w:type="dxa"/>
              <w:right w:w="100" w:type="dxa"/>
            </w:tcMar>
            <w:vAlign w:val="center"/>
          </w:tcPr>
          <w:p w14:paraId="4D2A685D" w14:textId="77777777" w:rsidR="00EE18AE" w:rsidRDefault="00000000">
            <w:r>
              <w:rPr>
                <w:sz w:val="19"/>
                <w:szCs w:val="19"/>
              </w:rPr>
              <w:t>Price per share/unit, like an equity.</w:t>
            </w:r>
          </w:p>
        </w:tc>
      </w:tr>
      <w:tr w:rsidR="00EE18AE" w14:paraId="415C7531" w14:textId="77777777">
        <w:tblPrEx>
          <w:tblCellMar>
            <w:top w:w="0" w:type="dxa"/>
            <w:bottom w:w="0" w:type="dxa"/>
          </w:tblCellMar>
        </w:tblPrEx>
        <w:tc>
          <w:tcPr>
            <w:tcW w:w="1600" w:type="dxa"/>
            <w:tcMar>
              <w:top w:w="60" w:type="dxa"/>
              <w:left w:w="100" w:type="dxa"/>
              <w:bottom w:w="60" w:type="dxa"/>
              <w:right w:w="100" w:type="dxa"/>
            </w:tcMar>
            <w:vAlign w:val="center"/>
          </w:tcPr>
          <w:p w14:paraId="6D86D93D" w14:textId="77777777" w:rsidR="00EE18AE" w:rsidRDefault="00000000">
            <w:r>
              <w:rPr>
                <w:sz w:val="19"/>
                <w:szCs w:val="19"/>
              </w:rPr>
              <w:t>Fixed Income</w:t>
            </w:r>
          </w:p>
        </w:tc>
        <w:tc>
          <w:tcPr>
            <w:tcW w:w="2600" w:type="dxa"/>
            <w:tcMar>
              <w:top w:w="60" w:type="dxa"/>
              <w:left w:w="100" w:type="dxa"/>
              <w:bottom w:w="60" w:type="dxa"/>
              <w:right w:w="100" w:type="dxa"/>
            </w:tcMar>
            <w:vAlign w:val="center"/>
          </w:tcPr>
          <w:p w14:paraId="6948F0D2" w14:textId="77777777" w:rsidR="00EE18AE" w:rsidRDefault="00000000">
            <w:r>
              <w:rPr>
                <w:sz w:val="19"/>
                <w:szCs w:val="19"/>
              </w:rPr>
              <w:t>A creditor claim: scheduled coupon payments plus return of principal at maturity.</w:t>
            </w:r>
          </w:p>
        </w:tc>
        <w:tc>
          <w:tcPr>
            <w:tcW w:w="2400" w:type="dxa"/>
            <w:tcMar>
              <w:top w:w="60" w:type="dxa"/>
              <w:left w:w="100" w:type="dxa"/>
              <w:bottom w:w="60" w:type="dxa"/>
              <w:right w:w="100" w:type="dxa"/>
            </w:tcMar>
            <w:vAlign w:val="center"/>
          </w:tcPr>
          <w:p w14:paraId="2E4B8547" w14:textId="77777777" w:rsidR="00EE18AE" w:rsidRDefault="00000000">
            <w:r>
              <w:rPr>
                <w:sz w:val="19"/>
                <w:szCs w:val="19"/>
              </w:rPr>
              <w:t>Interest-rate risk (duration), credit risk, inflation risk.</w:t>
            </w:r>
          </w:p>
        </w:tc>
        <w:tc>
          <w:tcPr>
            <w:tcW w:w="2660" w:type="dxa"/>
            <w:tcMar>
              <w:top w:w="60" w:type="dxa"/>
              <w:left w:w="100" w:type="dxa"/>
              <w:bottom w:w="60" w:type="dxa"/>
              <w:right w:w="100" w:type="dxa"/>
            </w:tcMar>
            <w:vAlign w:val="center"/>
          </w:tcPr>
          <w:p w14:paraId="2244B83B" w14:textId="77777777" w:rsidR="00EE18AE" w:rsidRDefault="00000000">
            <w:r>
              <w:rPr>
                <w:sz w:val="19"/>
                <w:szCs w:val="19"/>
              </w:rPr>
              <w:t>Price as % of par (e.g. 98.50), or quoted directly in yield.</w:t>
            </w:r>
          </w:p>
        </w:tc>
      </w:tr>
      <w:tr w:rsidR="00EE18AE" w14:paraId="1D5C67E3" w14:textId="77777777">
        <w:tblPrEx>
          <w:tblCellMar>
            <w:top w:w="0" w:type="dxa"/>
            <w:bottom w:w="0" w:type="dxa"/>
          </w:tblCellMar>
        </w:tblPrEx>
        <w:tc>
          <w:tcPr>
            <w:tcW w:w="1600" w:type="dxa"/>
            <w:shd w:val="clear" w:color="auto" w:fill="F2F2F2"/>
            <w:tcMar>
              <w:top w:w="60" w:type="dxa"/>
              <w:left w:w="100" w:type="dxa"/>
              <w:bottom w:w="60" w:type="dxa"/>
              <w:right w:w="100" w:type="dxa"/>
            </w:tcMar>
            <w:vAlign w:val="center"/>
          </w:tcPr>
          <w:p w14:paraId="1308B6C4" w14:textId="77777777" w:rsidR="00EE18AE" w:rsidRDefault="00000000">
            <w:r>
              <w:rPr>
                <w:sz w:val="19"/>
                <w:szCs w:val="19"/>
              </w:rPr>
              <w:t>FX</w:t>
            </w:r>
          </w:p>
        </w:tc>
        <w:tc>
          <w:tcPr>
            <w:tcW w:w="2600" w:type="dxa"/>
            <w:shd w:val="clear" w:color="auto" w:fill="F2F2F2"/>
            <w:tcMar>
              <w:top w:w="60" w:type="dxa"/>
              <w:left w:w="100" w:type="dxa"/>
              <w:bottom w:w="60" w:type="dxa"/>
              <w:right w:w="100" w:type="dxa"/>
            </w:tcMar>
            <w:vAlign w:val="center"/>
          </w:tcPr>
          <w:p w14:paraId="50582823" w14:textId="77777777" w:rsidR="00EE18AE" w:rsidRDefault="00000000">
            <w:r>
              <w:rPr>
                <w:sz w:val="19"/>
                <w:szCs w:val="19"/>
              </w:rPr>
              <w:t>The relative value of one currency versus another — no underlying cash flow, purely relative price.</w:t>
            </w:r>
          </w:p>
        </w:tc>
        <w:tc>
          <w:tcPr>
            <w:tcW w:w="2400" w:type="dxa"/>
            <w:shd w:val="clear" w:color="auto" w:fill="F2F2F2"/>
            <w:tcMar>
              <w:top w:w="60" w:type="dxa"/>
              <w:left w:w="100" w:type="dxa"/>
              <w:bottom w:w="60" w:type="dxa"/>
              <w:right w:w="100" w:type="dxa"/>
            </w:tcMar>
            <w:vAlign w:val="center"/>
          </w:tcPr>
          <w:p w14:paraId="6108A3A0" w14:textId="77777777" w:rsidR="00EE18AE" w:rsidRDefault="00000000">
            <w:r>
              <w:rPr>
                <w:sz w:val="19"/>
                <w:szCs w:val="19"/>
              </w:rPr>
              <w:t>Interest-rate differentials, macro/political risk, risk sentiment.</w:t>
            </w:r>
          </w:p>
        </w:tc>
        <w:tc>
          <w:tcPr>
            <w:tcW w:w="2660" w:type="dxa"/>
            <w:shd w:val="clear" w:color="auto" w:fill="F2F2F2"/>
            <w:tcMar>
              <w:top w:w="60" w:type="dxa"/>
              <w:left w:w="100" w:type="dxa"/>
              <w:bottom w:w="60" w:type="dxa"/>
              <w:right w:w="100" w:type="dxa"/>
            </w:tcMar>
            <w:vAlign w:val="center"/>
          </w:tcPr>
          <w:p w14:paraId="237A13F5" w14:textId="77777777" w:rsidR="00EE18AE" w:rsidRDefault="00000000">
            <w:r>
              <w:rPr>
                <w:sz w:val="19"/>
                <w:szCs w:val="19"/>
              </w:rPr>
              <w:t>One currency per unit of another, e.g. EUR/USD = 1.0850.</w:t>
            </w:r>
          </w:p>
        </w:tc>
      </w:tr>
      <w:tr w:rsidR="00EE18AE" w14:paraId="03B3DCE8" w14:textId="77777777">
        <w:tblPrEx>
          <w:tblCellMar>
            <w:top w:w="0" w:type="dxa"/>
            <w:bottom w:w="0" w:type="dxa"/>
          </w:tblCellMar>
        </w:tblPrEx>
        <w:tc>
          <w:tcPr>
            <w:tcW w:w="1600" w:type="dxa"/>
            <w:tcMar>
              <w:top w:w="60" w:type="dxa"/>
              <w:left w:w="100" w:type="dxa"/>
              <w:bottom w:w="60" w:type="dxa"/>
              <w:right w:w="100" w:type="dxa"/>
            </w:tcMar>
            <w:vAlign w:val="center"/>
          </w:tcPr>
          <w:p w14:paraId="7D0A26AF" w14:textId="77777777" w:rsidR="00EE18AE" w:rsidRDefault="00000000">
            <w:r>
              <w:rPr>
                <w:sz w:val="19"/>
                <w:szCs w:val="19"/>
              </w:rPr>
              <w:t>Commodities</w:t>
            </w:r>
          </w:p>
        </w:tc>
        <w:tc>
          <w:tcPr>
            <w:tcW w:w="2600" w:type="dxa"/>
            <w:tcMar>
              <w:top w:w="60" w:type="dxa"/>
              <w:left w:w="100" w:type="dxa"/>
              <w:bottom w:w="60" w:type="dxa"/>
              <w:right w:w="100" w:type="dxa"/>
            </w:tcMar>
            <w:vAlign w:val="center"/>
          </w:tcPr>
          <w:p w14:paraId="097B02C3" w14:textId="77777777" w:rsidR="00EE18AE" w:rsidRDefault="00000000">
            <w:r>
              <w:rPr>
                <w:sz w:val="19"/>
                <w:szCs w:val="19"/>
              </w:rPr>
              <w:t>Exposure to a physical good's price, almost always accessed via a futures contract rather than physical delivery.</w:t>
            </w:r>
          </w:p>
        </w:tc>
        <w:tc>
          <w:tcPr>
            <w:tcW w:w="2400" w:type="dxa"/>
            <w:tcMar>
              <w:top w:w="60" w:type="dxa"/>
              <w:left w:w="100" w:type="dxa"/>
              <w:bottom w:w="60" w:type="dxa"/>
              <w:right w:w="100" w:type="dxa"/>
            </w:tcMar>
            <w:vAlign w:val="center"/>
          </w:tcPr>
          <w:p w14:paraId="4F2597A1" w14:textId="77777777" w:rsidR="00EE18AE" w:rsidRDefault="00000000">
            <w:r>
              <w:rPr>
                <w:sz w:val="19"/>
                <w:szCs w:val="19"/>
              </w:rPr>
              <w:t>Supply/demand fundamentals, storage/carry costs, geopolitical risk.</w:t>
            </w:r>
          </w:p>
        </w:tc>
        <w:tc>
          <w:tcPr>
            <w:tcW w:w="2660" w:type="dxa"/>
            <w:tcMar>
              <w:top w:w="60" w:type="dxa"/>
              <w:left w:w="100" w:type="dxa"/>
              <w:bottom w:w="60" w:type="dxa"/>
              <w:right w:w="100" w:type="dxa"/>
            </w:tcMar>
            <w:vAlign w:val="center"/>
          </w:tcPr>
          <w:p w14:paraId="7036DC71" w14:textId="77777777" w:rsidR="00EE18AE" w:rsidRDefault="00000000">
            <w:r>
              <w:rPr>
                <w:sz w:val="19"/>
                <w:szCs w:val="19"/>
              </w:rPr>
              <w:t>Price per physical unit (barrel, bushel, troy ounce, etc.).</w:t>
            </w:r>
          </w:p>
        </w:tc>
      </w:tr>
      <w:tr w:rsidR="00EE18AE" w14:paraId="267A437E" w14:textId="77777777">
        <w:tblPrEx>
          <w:tblCellMar>
            <w:top w:w="0" w:type="dxa"/>
            <w:bottom w:w="0" w:type="dxa"/>
          </w:tblCellMar>
        </w:tblPrEx>
        <w:tc>
          <w:tcPr>
            <w:tcW w:w="1600" w:type="dxa"/>
            <w:shd w:val="clear" w:color="auto" w:fill="F2F2F2"/>
            <w:tcMar>
              <w:top w:w="60" w:type="dxa"/>
              <w:left w:w="100" w:type="dxa"/>
              <w:bottom w:w="60" w:type="dxa"/>
              <w:right w:w="100" w:type="dxa"/>
            </w:tcMar>
            <w:vAlign w:val="center"/>
          </w:tcPr>
          <w:p w14:paraId="262E5B84" w14:textId="77777777" w:rsidR="00EE18AE" w:rsidRDefault="00000000">
            <w:r>
              <w:rPr>
                <w:sz w:val="19"/>
                <w:szCs w:val="19"/>
              </w:rPr>
              <w:lastRenderedPageBreak/>
              <w:t>Futures</w:t>
            </w:r>
          </w:p>
        </w:tc>
        <w:tc>
          <w:tcPr>
            <w:tcW w:w="2600" w:type="dxa"/>
            <w:shd w:val="clear" w:color="auto" w:fill="F2F2F2"/>
            <w:tcMar>
              <w:top w:w="60" w:type="dxa"/>
              <w:left w:w="100" w:type="dxa"/>
              <w:bottom w:w="60" w:type="dxa"/>
              <w:right w:w="100" w:type="dxa"/>
            </w:tcMar>
            <w:vAlign w:val="center"/>
          </w:tcPr>
          <w:p w14:paraId="5B79A95F" w14:textId="77777777" w:rsidR="00EE18AE" w:rsidRDefault="00000000">
            <w:r>
              <w:rPr>
                <w:sz w:val="19"/>
                <w:szCs w:val="19"/>
              </w:rPr>
              <w:t>A standardised, exchange-traded obligation to buy/sell an underlying at a set price on a set date.</w:t>
            </w:r>
          </w:p>
        </w:tc>
        <w:tc>
          <w:tcPr>
            <w:tcW w:w="2400" w:type="dxa"/>
            <w:shd w:val="clear" w:color="auto" w:fill="F2F2F2"/>
            <w:tcMar>
              <w:top w:w="60" w:type="dxa"/>
              <w:left w:w="100" w:type="dxa"/>
              <w:bottom w:w="60" w:type="dxa"/>
              <w:right w:w="100" w:type="dxa"/>
            </w:tcMar>
            <w:vAlign w:val="center"/>
          </w:tcPr>
          <w:p w14:paraId="65639A38" w14:textId="77777777" w:rsidR="00EE18AE" w:rsidRDefault="00000000">
            <w:r>
              <w:rPr>
                <w:sz w:val="19"/>
                <w:szCs w:val="19"/>
              </w:rPr>
              <w:t>The underlying's price risk, plus roll/basis risk near expiry.</w:t>
            </w:r>
          </w:p>
        </w:tc>
        <w:tc>
          <w:tcPr>
            <w:tcW w:w="2660" w:type="dxa"/>
            <w:shd w:val="clear" w:color="auto" w:fill="F2F2F2"/>
            <w:tcMar>
              <w:top w:w="60" w:type="dxa"/>
              <w:left w:w="100" w:type="dxa"/>
              <w:bottom w:w="60" w:type="dxa"/>
              <w:right w:w="100" w:type="dxa"/>
            </w:tcMar>
            <w:vAlign w:val="center"/>
          </w:tcPr>
          <w:p w14:paraId="39204816" w14:textId="77777777" w:rsidR="00EE18AE" w:rsidRDefault="00000000">
            <w:r>
              <w:rPr>
                <w:sz w:val="19"/>
                <w:szCs w:val="19"/>
              </w:rPr>
              <w:t>Price in the underlying's units; traded in fixed contract-size lots.</w:t>
            </w:r>
          </w:p>
        </w:tc>
      </w:tr>
      <w:tr w:rsidR="00EE18AE" w14:paraId="42645E2F" w14:textId="77777777">
        <w:tblPrEx>
          <w:tblCellMar>
            <w:top w:w="0" w:type="dxa"/>
            <w:bottom w:w="0" w:type="dxa"/>
          </w:tblCellMar>
        </w:tblPrEx>
        <w:tc>
          <w:tcPr>
            <w:tcW w:w="1600" w:type="dxa"/>
            <w:tcMar>
              <w:top w:w="60" w:type="dxa"/>
              <w:left w:w="100" w:type="dxa"/>
              <w:bottom w:w="60" w:type="dxa"/>
              <w:right w:w="100" w:type="dxa"/>
            </w:tcMar>
            <w:vAlign w:val="center"/>
          </w:tcPr>
          <w:p w14:paraId="3B7C07E6" w14:textId="77777777" w:rsidR="00EE18AE" w:rsidRDefault="00000000">
            <w:r>
              <w:rPr>
                <w:sz w:val="19"/>
                <w:szCs w:val="19"/>
              </w:rPr>
              <w:t>Options</w:t>
            </w:r>
          </w:p>
        </w:tc>
        <w:tc>
          <w:tcPr>
            <w:tcW w:w="2600" w:type="dxa"/>
            <w:tcMar>
              <w:top w:w="60" w:type="dxa"/>
              <w:left w:w="100" w:type="dxa"/>
              <w:bottom w:w="60" w:type="dxa"/>
              <w:right w:w="100" w:type="dxa"/>
            </w:tcMar>
            <w:vAlign w:val="center"/>
          </w:tcPr>
          <w:p w14:paraId="2047D534" w14:textId="77777777" w:rsidR="00EE18AE" w:rsidRDefault="00000000">
            <w:r>
              <w:rPr>
                <w:sz w:val="19"/>
                <w:szCs w:val="19"/>
              </w:rPr>
              <w:t>The right, not the obligation, to buy (call) or sell (put) an underlying at a set strike by/on expiry.</w:t>
            </w:r>
          </w:p>
        </w:tc>
        <w:tc>
          <w:tcPr>
            <w:tcW w:w="2400" w:type="dxa"/>
            <w:tcMar>
              <w:top w:w="60" w:type="dxa"/>
              <w:left w:w="100" w:type="dxa"/>
              <w:bottom w:w="60" w:type="dxa"/>
              <w:right w:w="100" w:type="dxa"/>
            </w:tcMar>
            <w:vAlign w:val="center"/>
          </w:tcPr>
          <w:p w14:paraId="7ECAECC6" w14:textId="77777777" w:rsidR="00EE18AE" w:rsidRDefault="00000000">
            <w:r>
              <w:rPr>
                <w:sz w:val="19"/>
                <w:szCs w:val="19"/>
              </w:rPr>
              <w:t>Underlying price, implied volatility, time decay, interest rates.</w:t>
            </w:r>
          </w:p>
        </w:tc>
        <w:tc>
          <w:tcPr>
            <w:tcW w:w="2660" w:type="dxa"/>
            <w:tcMar>
              <w:top w:w="60" w:type="dxa"/>
              <w:left w:w="100" w:type="dxa"/>
              <w:bottom w:w="60" w:type="dxa"/>
              <w:right w:w="100" w:type="dxa"/>
            </w:tcMar>
            <w:vAlign w:val="center"/>
          </w:tcPr>
          <w:p w14:paraId="49EA73AC" w14:textId="77777777" w:rsidR="00EE18AE" w:rsidRDefault="00000000">
            <w:r>
              <w:rPr>
                <w:sz w:val="19"/>
                <w:szCs w:val="19"/>
              </w:rPr>
              <w:t>Premium per contract (often per share, then multiplied by contract size).</w:t>
            </w:r>
          </w:p>
        </w:tc>
      </w:tr>
      <w:tr w:rsidR="00EE18AE" w14:paraId="5CDEAE42" w14:textId="77777777">
        <w:tblPrEx>
          <w:tblCellMar>
            <w:top w:w="0" w:type="dxa"/>
            <w:bottom w:w="0" w:type="dxa"/>
          </w:tblCellMar>
        </w:tblPrEx>
        <w:tc>
          <w:tcPr>
            <w:tcW w:w="1600" w:type="dxa"/>
            <w:shd w:val="clear" w:color="auto" w:fill="F2F2F2"/>
            <w:tcMar>
              <w:top w:w="60" w:type="dxa"/>
              <w:left w:w="100" w:type="dxa"/>
              <w:bottom w:w="60" w:type="dxa"/>
              <w:right w:w="100" w:type="dxa"/>
            </w:tcMar>
            <w:vAlign w:val="center"/>
          </w:tcPr>
          <w:p w14:paraId="1F7DFC9B" w14:textId="77777777" w:rsidR="00EE18AE" w:rsidRDefault="00000000">
            <w:r>
              <w:rPr>
                <w:sz w:val="19"/>
                <w:szCs w:val="19"/>
              </w:rPr>
              <w:t>Swaps</w:t>
            </w:r>
          </w:p>
        </w:tc>
        <w:tc>
          <w:tcPr>
            <w:tcW w:w="2600" w:type="dxa"/>
            <w:shd w:val="clear" w:color="auto" w:fill="F2F2F2"/>
            <w:tcMar>
              <w:top w:w="60" w:type="dxa"/>
              <w:left w:w="100" w:type="dxa"/>
              <w:bottom w:w="60" w:type="dxa"/>
              <w:right w:w="100" w:type="dxa"/>
            </w:tcMar>
            <w:vAlign w:val="center"/>
          </w:tcPr>
          <w:p w14:paraId="3F507D62" w14:textId="77777777" w:rsidR="00EE18AE" w:rsidRDefault="00000000">
            <w:r>
              <w:rPr>
                <w:sz w:val="19"/>
                <w:szCs w:val="19"/>
              </w:rPr>
              <w:t>A bilateral agreement to exchange cash flows (e.g. fixed vs floating interest, one currency vs another) over time.</w:t>
            </w:r>
          </w:p>
        </w:tc>
        <w:tc>
          <w:tcPr>
            <w:tcW w:w="2400" w:type="dxa"/>
            <w:shd w:val="clear" w:color="auto" w:fill="F2F2F2"/>
            <w:tcMar>
              <w:top w:w="60" w:type="dxa"/>
              <w:left w:w="100" w:type="dxa"/>
              <w:bottom w:w="60" w:type="dxa"/>
              <w:right w:w="100" w:type="dxa"/>
            </w:tcMar>
            <w:vAlign w:val="center"/>
          </w:tcPr>
          <w:p w14:paraId="0DE6DF7D" w14:textId="77777777" w:rsidR="00EE18AE" w:rsidRDefault="00000000">
            <w:r>
              <w:rPr>
                <w:sz w:val="19"/>
                <w:szCs w:val="19"/>
              </w:rPr>
              <w:t>Interest-rate risk, counterparty credit risk (if uncleared), basis risk.</w:t>
            </w:r>
          </w:p>
        </w:tc>
        <w:tc>
          <w:tcPr>
            <w:tcW w:w="2660" w:type="dxa"/>
            <w:shd w:val="clear" w:color="auto" w:fill="F2F2F2"/>
            <w:tcMar>
              <w:top w:w="60" w:type="dxa"/>
              <w:left w:w="100" w:type="dxa"/>
              <w:bottom w:w="60" w:type="dxa"/>
              <w:right w:w="100" w:type="dxa"/>
            </w:tcMar>
            <w:vAlign w:val="center"/>
          </w:tcPr>
          <w:p w14:paraId="6D186B71" w14:textId="77777777" w:rsidR="00EE18AE" w:rsidRDefault="00000000">
            <w:r>
              <w:rPr>
                <w:sz w:val="19"/>
                <w:szCs w:val="19"/>
              </w:rPr>
              <w:t>Fixed rate (%) for interest-rate swaps; agreed notional and tenor.</w:t>
            </w:r>
          </w:p>
        </w:tc>
      </w:tr>
      <w:tr w:rsidR="00EE18AE" w14:paraId="65B7EA00" w14:textId="77777777">
        <w:tblPrEx>
          <w:tblCellMar>
            <w:top w:w="0" w:type="dxa"/>
            <w:bottom w:w="0" w:type="dxa"/>
          </w:tblCellMar>
        </w:tblPrEx>
        <w:tc>
          <w:tcPr>
            <w:tcW w:w="1600" w:type="dxa"/>
            <w:tcMar>
              <w:top w:w="60" w:type="dxa"/>
              <w:left w:w="100" w:type="dxa"/>
              <w:bottom w:w="60" w:type="dxa"/>
              <w:right w:w="100" w:type="dxa"/>
            </w:tcMar>
            <w:vAlign w:val="center"/>
          </w:tcPr>
          <w:p w14:paraId="65CFFC81" w14:textId="77777777" w:rsidR="00EE18AE" w:rsidRDefault="00000000">
            <w:r>
              <w:rPr>
                <w:sz w:val="19"/>
                <w:szCs w:val="19"/>
              </w:rPr>
              <w:t>Structured Products</w:t>
            </w:r>
          </w:p>
        </w:tc>
        <w:tc>
          <w:tcPr>
            <w:tcW w:w="2600" w:type="dxa"/>
            <w:tcMar>
              <w:top w:w="60" w:type="dxa"/>
              <w:left w:w="100" w:type="dxa"/>
              <w:bottom w:w="60" w:type="dxa"/>
              <w:right w:w="100" w:type="dxa"/>
            </w:tcMar>
            <w:vAlign w:val="center"/>
          </w:tcPr>
          <w:p w14:paraId="7716DB98" w14:textId="77777777" w:rsidR="00EE18AE" w:rsidRDefault="00000000">
            <w:r>
              <w:rPr>
                <w:sz w:val="19"/>
                <w:szCs w:val="19"/>
              </w:rPr>
              <w:t>A packaged combination of a bond and one or more derivatives, engineered to a specific payoff profile.</w:t>
            </w:r>
          </w:p>
        </w:tc>
        <w:tc>
          <w:tcPr>
            <w:tcW w:w="2400" w:type="dxa"/>
            <w:tcMar>
              <w:top w:w="60" w:type="dxa"/>
              <w:left w:w="100" w:type="dxa"/>
              <w:bottom w:w="60" w:type="dxa"/>
              <w:right w:w="100" w:type="dxa"/>
            </w:tcMar>
            <w:vAlign w:val="center"/>
          </w:tcPr>
          <w:p w14:paraId="42F3444A" w14:textId="77777777" w:rsidR="00EE18AE" w:rsidRDefault="00000000">
            <w:r>
              <w:rPr>
                <w:sz w:val="19"/>
                <w:szCs w:val="19"/>
              </w:rPr>
              <w:t>A blend of the components' risks — often issuer credit risk plus derivative/market risk.</w:t>
            </w:r>
          </w:p>
        </w:tc>
        <w:tc>
          <w:tcPr>
            <w:tcW w:w="2660" w:type="dxa"/>
            <w:tcMar>
              <w:top w:w="60" w:type="dxa"/>
              <w:left w:w="100" w:type="dxa"/>
              <w:bottom w:w="60" w:type="dxa"/>
              <w:right w:w="100" w:type="dxa"/>
            </w:tcMar>
            <w:vAlign w:val="center"/>
          </w:tcPr>
          <w:p w14:paraId="098F9E48" w14:textId="77777777" w:rsidR="00EE18AE" w:rsidRDefault="00000000">
            <w:r>
              <w:rPr>
                <w:sz w:val="19"/>
                <w:szCs w:val="19"/>
              </w:rPr>
              <w:t>Issue price (often par, e.g. 100), with a defined payoff formula.</w:t>
            </w:r>
          </w:p>
        </w:tc>
      </w:tr>
      <w:tr w:rsidR="00EE18AE" w14:paraId="77D4E107" w14:textId="77777777">
        <w:tblPrEx>
          <w:tblCellMar>
            <w:top w:w="0" w:type="dxa"/>
            <w:bottom w:w="0" w:type="dxa"/>
          </w:tblCellMar>
        </w:tblPrEx>
        <w:tc>
          <w:tcPr>
            <w:tcW w:w="1600" w:type="dxa"/>
            <w:shd w:val="clear" w:color="auto" w:fill="F2F2F2"/>
            <w:tcMar>
              <w:top w:w="60" w:type="dxa"/>
              <w:left w:w="100" w:type="dxa"/>
              <w:bottom w:w="60" w:type="dxa"/>
              <w:right w:w="100" w:type="dxa"/>
            </w:tcMar>
            <w:vAlign w:val="center"/>
          </w:tcPr>
          <w:p w14:paraId="5B98E488" w14:textId="77777777" w:rsidR="00EE18AE" w:rsidRDefault="00000000">
            <w:r>
              <w:rPr>
                <w:sz w:val="19"/>
                <w:szCs w:val="19"/>
              </w:rPr>
              <w:t>Crypto</w:t>
            </w:r>
          </w:p>
        </w:tc>
        <w:tc>
          <w:tcPr>
            <w:tcW w:w="2600" w:type="dxa"/>
            <w:shd w:val="clear" w:color="auto" w:fill="F2F2F2"/>
            <w:tcMar>
              <w:top w:w="60" w:type="dxa"/>
              <w:left w:w="100" w:type="dxa"/>
              <w:bottom w:w="60" w:type="dxa"/>
              <w:right w:w="100" w:type="dxa"/>
            </w:tcMar>
            <w:vAlign w:val="center"/>
          </w:tcPr>
          <w:p w14:paraId="138409C7" w14:textId="77777777" w:rsidR="00EE18AE" w:rsidRDefault="00000000">
            <w:r>
              <w:rPr>
                <w:sz w:val="19"/>
                <w:szCs w:val="19"/>
              </w:rPr>
              <w:t>A blockchain-native bearer asset (e.g. Bitcoin, Ether) with no cash flow or issuer.</w:t>
            </w:r>
          </w:p>
        </w:tc>
        <w:tc>
          <w:tcPr>
            <w:tcW w:w="2400" w:type="dxa"/>
            <w:shd w:val="clear" w:color="auto" w:fill="F2F2F2"/>
            <w:tcMar>
              <w:top w:w="60" w:type="dxa"/>
              <w:left w:w="100" w:type="dxa"/>
              <w:bottom w:w="60" w:type="dxa"/>
              <w:right w:w="100" w:type="dxa"/>
            </w:tcMar>
            <w:vAlign w:val="center"/>
          </w:tcPr>
          <w:p w14:paraId="4B77DF00" w14:textId="77777777" w:rsidR="00EE18AE" w:rsidRDefault="00000000">
            <w:r>
              <w:rPr>
                <w:sz w:val="19"/>
                <w:szCs w:val="19"/>
              </w:rPr>
              <w:t>Extreme volatility, regulatory risk, venue/custody risk.</w:t>
            </w:r>
          </w:p>
        </w:tc>
        <w:tc>
          <w:tcPr>
            <w:tcW w:w="2660" w:type="dxa"/>
            <w:shd w:val="clear" w:color="auto" w:fill="F2F2F2"/>
            <w:tcMar>
              <w:top w:w="60" w:type="dxa"/>
              <w:left w:w="100" w:type="dxa"/>
              <w:bottom w:w="60" w:type="dxa"/>
              <w:right w:w="100" w:type="dxa"/>
            </w:tcMar>
            <w:vAlign w:val="center"/>
          </w:tcPr>
          <w:p w14:paraId="50B2D652" w14:textId="77777777" w:rsidR="00EE18AE" w:rsidRDefault="00000000">
            <w:r>
              <w:rPr>
                <w:sz w:val="19"/>
                <w:szCs w:val="19"/>
              </w:rPr>
              <w:t>Price per coin/token in a fiat or stablecoin quote currency.</w:t>
            </w:r>
          </w:p>
        </w:tc>
      </w:tr>
      <w:tr w:rsidR="00EE18AE" w14:paraId="1C5EFBCE" w14:textId="77777777">
        <w:tblPrEx>
          <w:tblCellMar>
            <w:top w:w="0" w:type="dxa"/>
            <w:bottom w:w="0" w:type="dxa"/>
          </w:tblCellMar>
        </w:tblPrEx>
        <w:tc>
          <w:tcPr>
            <w:tcW w:w="1600" w:type="dxa"/>
            <w:tcMar>
              <w:top w:w="60" w:type="dxa"/>
              <w:left w:w="100" w:type="dxa"/>
              <w:bottom w:w="60" w:type="dxa"/>
              <w:right w:w="100" w:type="dxa"/>
            </w:tcMar>
            <w:vAlign w:val="center"/>
          </w:tcPr>
          <w:p w14:paraId="3CC9B032" w14:textId="77777777" w:rsidR="00EE18AE" w:rsidRDefault="00000000">
            <w:r>
              <w:rPr>
                <w:sz w:val="19"/>
                <w:szCs w:val="19"/>
              </w:rPr>
              <w:t>Perpetual Futures</w:t>
            </w:r>
          </w:p>
        </w:tc>
        <w:tc>
          <w:tcPr>
            <w:tcW w:w="2600" w:type="dxa"/>
            <w:tcMar>
              <w:top w:w="60" w:type="dxa"/>
              <w:left w:w="100" w:type="dxa"/>
              <w:bottom w:w="60" w:type="dxa"/>
              <w:right w:w="100" w:type="dxa"/>
            </w:tcMar>
            <w:vAlign w:val="center"/>
          </w:tcPr>
          <w:p w14:paraId="20794229" w14:textId="77777777" w:rsidR="00EE18AE" w:rsidRDefault="00000000">
            <w:r>
              <w:rPr>
                <w:sz w:val="19"/>
                <w:szCs w:val="19"/>
              </w:rPr>
              <w:t>A futures-like crypto derivative with no expiry, kept near spot price via a periodic funding payment.</w:t>
            </w:r>
          </w:p>
        </w:tc>
        <w:tc>
          <w:tcPr>
            <w:tcW w:w="2400" w:type="dxa"/>
            <w:tcMar>
              <w:top w:w="60" w:type="dxa"/>
              <w:left w:w="100" w:type="dxa"/>
              <w:bottom w:w="60" w:type="dxa"/>
              <w:right w:w="100" w:type="dxa"/>
            </w:tcMar>
            <w:vAlign w:val="center"/>
          </w:tcPr>
          <w:p w14:paraId="66EBEA1F" w14:textId="77777777" w:rsidR="00EE18AE" w:rsidRDefault="00000000">
            <w:r>
              <w:rPr>
                <w:sz w:val="19"/>
                <w:szCs w:val="19"/>
              </w:rPr>
              <w:t>Underlying crypto price risk, plus funding-rate carry cost/benefit.</w:t>
            </w:r>
          </w:p>
        </w:tc>
        <w:tc>
          <w:tcPr>
            <w:tcW w:w="2660" w:type="dxa"/>
            <w:tcMar>
              <w:top w:w="60" w:type="dxa"/>
              <w:left w:w="100" w:type="dxa"/>
              <w:bottom w:w="60" w:type="dxa"/>
              <w:right w:w="100" w:type="dxa"/>
            </w:tcMar>
            <w:vAlign w:val="center"/>
          </w:tcPr>
          <w:p w14:paraId="03818F31" w14:textId="77777777" w:rsidR="00EE18AE" w:rsidRDefault="00000000">
            <w:r>
              <w:rPr>
                <w:sz w:val="19"/>
                <w:szCs w:val="19"/>
              </w:rPr>
              <w:t>Price per coin/token, like the underlying spot.</w:t>
            </w:r>
          </w:p>
        </w:tc>
      </w:tr>
      <w:tr w:rsidR="00EE18AE" w14:paraId="6D8F591E" w14:textId="77777777">
        <w:tblPrEx>
          <w:tblCellMar>
            <w:top w:w="0" w:type="dxa"/>
            <w:bottom w:w="0" w:type="dxa"/>
          </w:tblCellMar>
        </w:tblPrEx>
        <w:tc>
          <w:tcPr>
            <w:tcW w:w="1600" w:type="dxa"/>
            <w:shd w:val="clear" w:color="auto" w:fill="F2F2F2"/>
            <w:tcMar>
              <w:top w:w="60" w:type="dxa"/>
              <w:left w:w="100" w:type="dxa"/>
              <w:bottom w:w="60" w:type="dxa"/>
              <w:right w:w="100" w:type="dxa"/>
            </w:tcMar>
            <w:vAlign w:val="center"/>
          </w:tcPr>
          <w:p w14:paraId="02EEDFBD" w14:textId="77777777" w:rsidR="00EE18AE" w:rsidRDefault="00000000">
            <w:r>
              <w:rPr>
                <w:sz w:val="19"/>
                <w:szCs w:val="19"/>
              </w:rPr>
              <w:t>DeFi / Tokenised Assets</w:t>
            </w:r>
          </w:p>
        </w:tc>
        <w:tc>
          <w:tcPr>
            <w:tcW w:w="2600" w:type="dxa"/>
            <w:shd w:val="clear" w:color="auto" w:fill="F2F2F2"/>
            <w:tcMar>
              <w:top w:w="60" w:type="dxa"/>
              <w:left w:w="100" w:type="dxa"/>
              <w:bottom w:w="60" w:type="dxa"/>
              <w:right w:w="100" w:type="dxa"/>
            </w:tcMar>
            <w:vAlign w:val="center"/>
          </w:tcPr>
          <w:p w14:paraId="2109F73B" w14:textId="77777777" w:rsidR="00EE18AE" w:rsidRDefault="00000000">
            <w:r>
              <w:rPr>
                <w:sz w:val="19"/>
                <w:szCs w:val="19"/>
              </w:rPr>
              <w:t>Exposure created and settled directly on a blockchain via smart contracts, often without a traditional intermediary.</w:t>
            </w:r>
          </w:p>
        </w:tc>
        <w:tc>
          <w:tcPr>
            <w:tcW w:w="2400" w:type="dxa"/>
            <w:shd w:val="clear" w:color="auto" w:fill="F2F2F2"/>
            <w:tcMar>
              <w:top w:w="60" w:type="dxa"/>
              <w:left w:w="100" w:type="dxa"/>
              <w:bottom w:w="60" w:type="dxa"/>
              <w:right w:w="100" w:type="dxa"/>
            </w:tcMar>
            <w:vAlign w:val="center"/>
          </w:tcPr>
          <w:p w14:paraId="165E544D" w14:textId="77777777" w:rsidR="00EE18AE" w:rsidRDefault="00000000">
            <w:r>
              <w:rPr>
                <w:sz w:val="19"/>
                <w:szCs w:val="19"/>
              </w:rPr>
              <w:t>Smart-contract risk, oracle risk, liquidity-pool impermanent loss, plus the underlying asset's own risk.</w:t>
            </w:r>
          </w:p>
        </w:tc>
        <w:tc>
          <w:tcPr>
            <w:tcW w:w="2660" w:type="dxa"/>
            <w:shd w:val="clear" w:color="auto" w:fill="F2F2F2"/>
            <w:tcMar>
              <w:top w:w="60" w:type="dxa"/>
              <w:left w:w="100" w:type="dxa"/>
              <w:bottom w:w="60" w:type="dxa"/>
              <w:right w:w="100" w:type="dxa"/>
            </w:tcMar>
            <w:vAlign w:val="center"/>
          </w:tcPr>
          <w:p w14:paraId="3BD4CB7D" w14:textId="77777777" w:rsidR="00EE18AE" w:rsidRDefault="00000000">
            <w:r>
              <w:rPr>
                <w:sz w:val="19"/>
                <w:szCs w:val="19"/>
              </w:rPr>
              <w:t>Varies by protocol — often quoted in another token or a stablecoin.</w:t>
            </w:r>
          </w:p>
        </w:tc>
      </w:tr>
    </w:tbl>
    <w:p w14:paraId="2F5AC484" w14:textId="77777777" w:rsidR="00EE18AE" w:rsidRDefault="00000000">
      <w:pPr>
        <w:pStyle w:val="Heading2"/>
        <w:spacing w:before="260"/>
      </w:pPr>
      <w:bookmarkStart w:id="18" w:name="_Toc239542913"/>
      <w:r>
        <w:t>2.3 Reference Table — Model Answer to the Practical Exercise</w:t>
      </w:r>
      <w:bookmarkEnd w:id="18"/>
    </w:p>
    <w:p w14:paraId="4831D617" w14:textId="77777777" w:rsidR="00EE18AE" w:rsidRDefault="00000000">
      <w:pPr>
        <w:spacing w:after="160"/>
      </w:pPr>
      <w:r>
        <w:rPr>
          <w:i/>
          <w:iCs/>
          <w:color w:val="595959"/>
        </w:rPr>
        <w:t>Exercise: Build a reference table of instruments across asset classes with quoting convention, typical tick size and settlement cycle.</w:t>
      </w:r>
    </w:p>
    <w:tbl>
      <w:tblPr>
        <w:tblW w:w="10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800"/>
        <w:gridCol w:w="2560"/>
        <w:gridCol w:w="1800"/>
        <w:gridCol w:w="2000"/>
      </w:tblGrid>
      <w:tr w:rsidR="00EE18AE" w14:paraId="7CA251FB" w14:textId="77777777">
        <w:tblPrEx>
          <w:tblCellMar>
            <w:top w:w="0" w:type="dxa"/>
            <w:bottom w:w="0" w:type="dxa"/>
          </w:tblCellMar>
        </w:tblPrEx>
        <w:trPr>
          <w:tblHeader/>
        </w:trPr>
        <w:tc>
          <w:tcPr>
            <w:tcW w:w="2100" w:type="dxa"/>
            <w:shd w:val="clear" w:color="auto" w:fill="1F3864"/>
            <w:tcMar>
              <w:top w:w="60" w:type="dxa"/>
              <w:left w:w="100" w:type="dxa"/>
              <w:bottom w:w="60" w:type="dxa"/>
              <w:right w:w="100" w:type="dxa"/>
            </w:tcMar>
            <w:vAlign w:val="center"/>
          </w:tcPr>
          <w:p w14:paraId="3AEF1DE7" w14:textId="77777777" w:rsidR="00EE18AE" w:rsidRDefault="00000000">
            <w:r>
              <w:rPr>
                <w:b/>
                <w:bCs/>
                <w:color w:val="FFFFFF"/>
                <w:sz w:val="19"/>
                <w:szCs w:val="19"/>
              </w:rPr>
              <w:t>Instrument</w:t>
            </w:r>
          </w:p>
        </w:tc>
        <w:tc>
          <w:tcPr>
            <w:tcW w:w="1800" w:type="dxa"/>
            <w:shd w:val="clear" w:color="auto" w:fill="1F3864"/>
            <w:tcMar>
              <w:top w:w="60" w:type="dxa"/>
              <w:left w:w="100" w:type="dxa"/>
              <w:bottom w:w="60" w:type="dxa"/>
              <w:right w:w="100" w:type="dxa"/>
            </w:tcMar>
            <w:vAlign w:val="center"/>
          </w:tcPr>
          <w:p w14:paraId="025AEFD4" w14:textId="77777777" w:rsidR="00EE18AE" w:rsidRDefault="00000000">
            <w:r>
              <w:rPr>
                <w:b/>
                <w:bCs/>
                <w:color w:val="FFFFFF"/>
                <w:sz w:val="19"/>
                <w:szCs w:val="19"/>
              </w:rPr>
              <w:t>Asset Class</w:t>
            </w:r>
          </w:p>
        </w:tc>
        <w:tc>
          <w:tcPr>
            <w:tcW w:w="2560" w:type="dxa"/>
            <w:shd w:val="clear" w:color="auto" w:fill="1F3864"/>
            <w:tcMar>
              <w:top w:w="60" w:type="dxa"/>
              <w:left w:w="100" w:type="dxa"/>
              <w:bottom w:w="60" w:type="dxa"/>
              <w:right w:w="100" w:type="dxa"/>
            </w:tcMar>
            <w:vAlign w:val="center"/>
          </w:tcPr>
          <w:p w14:paraId="75AF4160" w14:textId="77777777" w:rsidR="00EE18AE" w:rsidRDefault="00000000">
            <w:r>
              <w:rPr>
                <w:b/>
                <w:bCs/>
                <w:color w:val="FFFFFF"/>
                <w:sz w:val="19"/>
                <w:szCs w:val="19"/>
              </w:rPr>
              <w:t>Quoting Convention</w:t>
            </w:r>
          </w:p>
        </w:tc>
        <w:tc>
          <w:tcPr>
            <w:tcW w:w="1800" w:type="dxa"/>
            <w:shd w:val="clear" w:color="auto" w:fill="1F3864"/>
            <w:tcMar>
              <w:top w:w="60" w:type="dxa"/>
              <w:left w:w="100" w:type="dxa"/>
              <w:bottom w:w="60" w:type="dxa"/>
              <w:right w:w="100" w:type="dxa"/>
            </w:tcMar>
            <w:vAlign w:val="center"/>
          </w:tcPr>
          <w:p w14:paraId="5F6BE3E8" w14:textId="77777777" w:rsidR="00EE18AE" w:rsidRDefault="00000000">
            <w:r>
              <w:rPr>
                <w:b/>
                <w:bCs/>
                <w:color w:val="FFFFFF"/>
                <w:sz w:val="19"/>
                <w:szCs w:val="19"/>
              </w:rPr>
              <w:t>Typical Tick Size</w:t>
            </w:r>
          </w:p>
        </w:tc>
        <w:tc>
          <w:tcPr>
            <w:tcW w:w="2000" w:type="dxa"/>
            <w:shd w:val="clear" w:color="auto" w:fill="1F3864"/>
            <w:tcMar>
              <w:top w:w="60" w:type="dxa"/>
              <w:left w:w="100" w:type="dxa"/>
              <w:bottom w:w="60" w:type="dxa"/>
              <w:right w:w="100" w:type="dxa"/>
            </w:tcMar>
            <w:vAlign w:val="center"/>
          </w:tcPr>
          <w:p w14:paraId="49131891" w14:textId="77777777" w:rsidR="00EE18AE" w:rsidRDefault="00000000">
            <w:r>
              <w:rPr>
                <w:b/>
                <w:bCs/>
                <w:color w:val="FFFFFF"/>
                <w:sz w:val="19"/>
                <w:szCs w:val="19"/>
              </w:rPr>
              <w:t>Settlement Cycle</w:t>
            </w:r>
          </w:p>
        </w:tc>
      </w:tr>
      <w:tr w:rsidR="00EE18AE" w14:paraId="4943B3FC" w14:textId="77777777">
        <w:tblPrEx>
          <w:tblCellMar>
            <w:top w:w="0" w:type="dxa"/>
            <w:bottom w:w="0" w:type="dxa"/>
          </w:tblCellMar>
        </w:tblPrEx>
        <w:tc>
          <w:tcPr>
            <w:tcW w:w="2100" w:type="dxa"/>
            <w:tcMar>
              <w:top w:w="60" w:type="dxa"/>
              <w:left w:w="100" w:type="dxa"/>
              <w:bottom w:w="60" w:type="dxa"/>
              <w:right w:w="100" w:type="dxa"/>
            </w:tcMar>
            <w:vAlign w:val="center"/>
          </w:tcPr>
          <w:p w14:paraId="7A300C2E" w14:textId="77777777" w:rsidR="00EE18AE" w:rsidRDefault="00000000">
            <w:r>
              <w:rPr>
                <w:sz w:val="19"/>
                <w:szCs w:val="19"/>
              </w:rPr>
              <w:t>AAPL common stock</w:t>
            </w:r>
          </w:p>
        </w:tc>
        <w:tc>
          <w:tcPr>
            <w:tcW w:w="1800" w:type="dxa"/>
            <w:tcMar>
              <w:top w:w="60" w:type="dxa"/>
              <w:left w:w="100" w:type="dxa"/>
              <w:bottom w:w="60" w:type="dxa"/>
              <w:right w:w="100" w:type="dxa"/>
            </w:tcMar>
            <w:vAlign w:val="center"/>
          </w:tcPr>
          <w:p w14:paraId="2050469C" w14:textId="77777777" w:rsidR="00EE18AE" w:rsidRDefault="00000000">
            <w:r>
              <w:rPr>
                <w:sz w:val="19"/>
                <w:szCs w:val="19"/>
              </w:rPr>
              <w:t>Equity</w:t>
            </w:r>
          </w:p>
        </w:tc>
        <w:tc>
          <w:tcPr>
            <w:tcW w:w="2560" w:type="dxa"/>
            <w:tcMar>
              <w:top w:w="60" w:type="dxa"/>
              <w:left w:w="100" w:type="dxa"/>
              <w:bottom w:w="60" w:type="dxa"/>
              <w:right w:w="100" w:type="dxa"/>
            </w:tcMar>
            <w:vAlign w:val="center"/>
          </w:tcPr>
          <w:p w14:paraId="42B198ED" w14:textId="77777777" w:rsidR="00EE18AE" w:rsidRDefault="00000000">
            <w:r>
              <w:rPr>
                <w:sz w:val="19"/>
                <w:szCs w:val="19"/>
              </w:rPr>
              <w:t>Price per share, US$.</w:t>
            </w:r>
          </w:p>
        </w:tc>
        <w:tc>
          <w:tcPr>
            <w:tcW w:w="1800" w:type="dxa"/>
            <w:tcMar>
              <w:top w:w="60" w:type="dxa"/>
              <w:left w:w="100" w:type="dxa"/>
              <w:bottom w:w="60" w:type="dxa"/>
              <w:right w:w="100" w:type="dxa"/>
            </w:tcMar>
            <w:vAlign w:val="center"/>
          </w:tcPr>
          <w:p w14:paraId="3244962A" w14:textId="77777777" w:rsidR="00EE18AE" w:rsidRDefault="00000000">
            <w:r>
              <w:rPr>
                <w:sz w:val="19"/>
                <w:szCs w:val="19"/>
              </w:rPr>
              <w:t>$0.01</w:t>
            </w:r>
          </w:p>
        </w:tc>
        <w:tc>
          <w:tcPr>
            <w:tcW w:w="2000" w:type="dxa"/>
            <w:tcMar>
              <w:top w:w="60" w:type="dxa"/>
              <w:left w:w="100" w:type="dxa"/>
              <w:bottom w:w="60" w:type="dxa"/>
              <w:right w:w="100" w:type="dxa"/>
            </w:tcMar>
            <w:vAlign w:val="center"/>
          </w:tcPr>
          <w:p w14:paraId="0C41897A" w14:textId="77777777" w:rsidR="00EE18AE" w:rsidRDefault="00000000">
            <w:r>
              <w:rPr>
                <w:sz w:val="19"/>
                <w:szCs w:val="19"/>
              </w:rPr>
              <w:t>T+1 (US, since 28 May 2024).</w:t>
            </w:r>
          </w:p>
        </w:tc>
      </w:tr>
      <w:tr w:rsidR="00EE18AE" w14:paraId="633641C1" w14:textId="77777777">
        <w:tblPrEx>
          <w:tblCellMar>
            <w:top w:w="0" w:type="dxa"/>
            <w:bottom w:w="0" w:type="dxa"/>
          </w:tblCellMar>
        </w:tblPrEx>
        <w:tc>
          <w:tcPr>
            <w:tcW w:w="2100" w:type="dxa"/>
            <w:shd w:val="clear" w:color="auto" w:fill="F2F2F2"/>
            <w:tcMar>
              <w:top w:w="60" w:type="dxa"/>
              <w:left w:w="100" w:type="dxa"/>
              <w:bottom w:w="60" w:type="dxa"/>
              <w:right w:w="100" w:type="dxa"/>
            </w:tcMar>
            <w:vAlign w:val="center"/>
          </w:tcPr>
          <w:p w14:paraId="455C99E5" w14:textId="77777777" w:rsidR="00EE18AE" w:rsidRDefault="00000000">
            <w:r>
              <w:rPr>
                <w:sz w:val="19"/>
                <w:szCs w:val="19"/>
              </w:rPr>
              <w:t>SPY ETF</w:t>
            </w:r>
          </w:p>
        </w:tc>
        <w:tc>
          <w:tcPr>
            <w:tcW w:w="1800" w:type="dxa"/>
            <w:shd w:val="clear" w:color="auto" w:fill="F2F2F2"/>
            <w:tcMar>
              <w:top w:w="60" w:type="dxa"/>
              <w:left w:w="100" w:type="dxa"/>
              <w:bottom w:w="60" w:type="dxa"/>
              <w:right w:w="100" w:type="dxa"/>
            </w:tcMar>
            <w:vAlign w:val="center"/>
          </w:tcPr>
          <w:p w14:paraId="0C88CDBF" w14:textId="77777777" w:rsidR="00EE18AE" w:rsidRDefault="00000000">
            <w:r>
              <w:rPr>
                <w:sz w:val="19"/>
                <w:szCs w:val="19"/>
              </w:rPr>
              <w:t>ETF</w:t>
            </w:r>
          </w:p>
        </w:tc>
        <w:tc>
          <w:tcPr>
            <w:tcW w:w="2560" w:type="dxa"/>
            <w:shd w:val="clear" w:color="auto" w:fill="F2F2F2"/>
            <w:tcMar>
              <w:top w:w="60" w:type="dxa"/>
              <w:left w:w="100" w:type="dxa"/>
              <w:bottom w:w="60" w:type="dxa"/>
              <w:right w:w="100" w:type="dxa"/>
            </w:tcMar>
            <w:vAlign w:val="center"/>
          </w:tcPr>
          <w:p w14:paraId="7749CCE9" w14:textId="77777777" w:rsidR="00EE18AE" w:rsidRDefault="00000000">
            <w:r>
              <w:rPr>
                <w:sz w:val="19"/>
                <w:szCs w:val="19"/>
              </w:rPr>
              <w:t>Price per share, US$, tracks S&amp;P 500.</w:t>
            </w:r>
          </w:p>
        </w:tc>
        <w:tc>
          <w:tcPr>
            <w:tcW w:w="1800" w:type="dxa"/>
            <w:shd w:val="clear" w:color="auto" w:fill="F2F2F2"/>
            <w:tcMar>
              <w:top w:w="60" w:type="dxa"/>
              <w:left w:w="100" w:type="dxa"/>
              <w:bottom w:w="60" w:type="dxa"/>
              <w:right w:w="100" w:type="dxa"/>
            </w:tcMar>
            <w:vAlign w:val="center"/>
          </w:tcPr>
          <w:p w14:paraId="6546ED25" w14:textId="77777777" w:rsidR="00EE18AE" w:rsidRDefault="00000000">
            <w:r>
              <w:rPr>
                <w:sz w:val="19"/>
                <w:szCs w:val="19"/>
              </w:rPr>
              <w:t>$0.01</w:t>
            </w:r>
          </w:p>
        </w:tc>
        <w:tc>
          <w:tcPr>
            <w:tcW w:w="2000" w:type="dxa"/>
            <w:shd w:val="clear" w:color="auto" w:fill="F2F2F2"/>
            <w:tcMar>
              <w:top w:w="60" w:type="dxa"/>
              <w:left w:w="100" w:type="dxa"/>
              <w:bottom w:w="60" w:type="dxa"/>
              <w:right w:w="100" w:type="dxa"/>
            </w:tcMar>
            <w:vAlign w:val="center"/>
          </w:tcPr>
          <w:p w14:paraId="6D0490DC" w14:textId="77777777" w:rsidR="00EE18AE" w:rsidRDefault="00000000">
            <w:r>
              <w:rPr>
                <w:sz w:val="19"/>
                <w:szCs w:val="19"/>
              </w:rPr>
              <w:t>T+1 (US).</w:t>
            </w:r>
          </w:p>
        </w:tc>
      </w:tr>
      <w:tr w:rsidR="00EE18AE" w14:paraId="1176463F" w14:textId="77777777">
        <w:tblPrEx>
          <w:tblCellMar>
            <w:top w:w="0" w:type="dxa"/>
            <w:bottom w:w="0" w:type="dxa"/>
          </w:tblCellMar>
        </w:tblPrEx>
        <w:tc>
          <w:tcPr>
            <w:tcW w:w="2100" w:type="dxa"/>
            <w:tcMar>
              <w:top w:w="60" w:type="dxa"/>
              <w:left w:w="100" w:type="dxa"/>
              <w:bottom w:w="60" w:type="dxa"/>
              <w:right w:w="100" w:type="dxa"/>
            </w:tcMar>
            <w:vAlign w:val="center"/>
          </w:tcPr>
          <w:p w14:paraId="3385704A" w14:textId="77777777" w:rsidR="00EE18AE" w:rsidRDefault="00000000">
            <w:r>
              <w:rPr>
                <w:sz w:val="19"/>
                <w:szCs w:val="19"/>
              </w:rPr>
              <w:t>US 10-Year Treasury Note</w:t>
            </w:r>
          </w:p>
        </w:tc>
        <w:tc>
          <w:tcPr>
            <w:tcW w:w="1800" w:type="dxa"/>
            <w:tcMar>
              <w:top w:w="60" w:type="dxa"/>
              <w:left w:w="100" w:type="dxa"/>
              <w:bottom w:w="60" w:type="dxa"/>
              <w:right w:w="100" w:type="dxa"/>
            </w:tcMar>
            <w:vAlign w:val="center"/>
          </w:tcPr>
          <w:p w14:paraId="2131A54B" w14:textId="77777777" w:rsidR="00EE18AE" w:rsidRDefault="00000000">
            <w:r>
              <w:rPr>
                <w:sz w:val="19"/>
                <w:szCs w:val="19"/>
              </w:rPr>
              <w:t>Fixed Income (Government)</w:t>
            </w:r>
          </w:p>
        </w:tc>
        <w:tc>
          <w:tcPr>
            <w:tcW w:w="2560" w:type="dxa"/>
            <w:tcMar>
              <w:top w:w="60" w:type="dxa"/>
              <w:left w:w="100" w:type="dxa"/>
              <w:bottom w:w="60" w:type="dxa"/>
              <w:right w:w="100" w:type="dxa"/>
            </w:tcMar>
            <w:vAlign w:val="center"/>
          </w:tcPr>
          <w:p w14:paraId="089F02FE" w14:textId="77777777" w:rsidR="00EE18AE" w:rsidRDefault="00000000">
            <w:r>
              <w:rPr>
                <w:sz w:val="19"/>
                <w:szCs w:val="19"/>
              </w:rPr>
              <w:t>Price in 32nds of a point (e.g. 98-16 = 98.50).</w:t>
            </w:r>
          </w:p>
        </w:tc>
        <w:tc>
          <w:tcPr>
            <w:tcW w:w="1800" w:type="dxa"/>
            <w:tcMar>
              <w:top w:w="60" w:type="dxa"/>
              <w:left w:w="100" w:type="dxa"/>
              <w:bottom w:w="60" w:type="dxa"/>
              <w:right w:w="100" w:type="dxa"/>
            </w:tcMar>
            <w:vAlign w:val="center"/>
          </w:tcPr>
          <w:p w14:paraId="57428E75" w14:textId="77777777" w:rsidR="00EE18AE" w:rsidRDefault="00000000">
            <w:r>
              <w:rPr>
                <w:sz w:val="19"/>
                <w:szCs w:val="19"/>
              </w:rPr>
              <w:t>1/32 of a point (≈ $31.25 per $100,000 face).</w:t>
            </w:r>
          </w:p>
        </w:tc>
        <w:tc>
          <w:tcPr>
            <w:tcW w:w="2000" w:type="dxa"/>
            <w:tcMar>
              <w:top w:w="60" w:type="dxa"/>
              <w:left w:w="100" w:type="dxa"/>
              <w:bottom w:w="60" w:type="dxa"/>
              <w:right w:w="100" w:type="dxa"/>
            </w:tcMar>
            <w:vAlign w:val="center"/>
          </w:tcPr>
          <w:p w14:paraId="2F600395" w14:textId="77777777" w:rsidR="00EE18AE" w:rsidRDefault="00000000">
            <w:r>
              <w:rPr>
                <w:sz w:val="19"/>
                <w:szCs w:val="19"/>
              </w:rPr>
              <w:t>T+1 (US Treasuries).</w:t>
            </w:r>
          </w:p>
        </w:tc>
      </w:tr>
      <w:tr w:rsidR="00EE18AE" w14:paraId="01B7505E" w14:textId="77777777">
        <w:tblPrEx>
          <w:tblCellMar>
            <w:top w:w="0" w:type="dxa"/>
            <w:bottom w:w="0" w:type="dxa"/>
          </w:tblCellMar>
        </w:tblPrEx>
        <w:tc>
          <w:tcPr>
            <w:tcW w:w="2100" w:type="dxa"/>
            <w:shd w:val="clear" w:color="auto" w:fill="F2F2F2"/>
            <w:tcMar>
              <w:top w:w="60" w:type="dxa"/>
              <w:left w:w="100" w:type="dxa"/>
              <w:bottom w:w="60" w:type="dxa"/>
              <w:right w:w="100" w:type="dxa"/>
            </w:tcMar>
            <w:vAlign w:val="center"/>
          </w:tcPr>
          <w:p w14:paraId="01718D92" w14:textId="77777777" w:rsidR="00EE18AE" w:rsidRDefault="00000000">
            <w:r>
              <w:rPr>
                <w:sz w:val="19"/>
                <w:szCs w:val="19"/>
              </w:rPr>
              <w:t>Investment-grade corporate bond</w:t>
            </w:r>
          </w:p>
        </w:tc>
        <w:tc>
          <w:tcPr>
            <w:tcW w:w="1800" w:type="dxa"/>
            <w:shd w:val="clear" w:color="auto" w:fill="F2F2F2"/>
            <w:tcMar>
              <w:top w:w="60" w:type="dxa"/>
              <w:left w:w="100" w:type="dxa"/>
              <w:bottom w:w="60" w:type="dxa"/>
              <w:right w:w="100" w:type="dxa"/>
            </w:tcMar>
            <w:vAlign w:val="center"/>
          </w:tcPr>
          <w:p w14:paraId="7C50D3BB" w14:textId="77777777" w:rsidR="00EE18AE" w:rsidRDefault="00000000">
            <w:r>
              <w:rPr>
                <w:sz w:val="19"/>
                <w:szCs w:val="19"/>
              </w:rPr>
              <w:t>Fixed Income (Credit)</w:t>
            </w:r>
          </w:p>
        </w:tc>
        <w:tc>
          <w:tcPr>
            <w:tcW w:w="2560" w:type="dxa"/>
            <w:shd w:val="clear" w:color="auto" w:fill="F2F2F2"/>
            <w:tcMar>
              <w:top w:w="60" w:type="dxa"/>
              <w:left w:w="100" w:type="dxa"/>
              <w:bottom w:w="60" w:type="dxa"/>
              <w:right w:w="100" w:type="dxa"/>
            </w:tcMar>
            <w:vAlign w:val="center"/>
          </w:tcPr>
          <w:p w14:paraId="43D7A7E4" w14:textId="77777777" w:rsidR="00EE18AE" w:rsidRDefault="00000000">
            <w:r>
              <w:rPr>
                <w:sz w:val="19"/>
                <w:szCs w:val="19"/>
              </w:rPr>
              <w:t>Price as % of par, or quoted spread over a benchmark.</w:t>
            </w:r>
          </w:p>
        </w:tc>
        <w:tc>
          <w:tcPr>
            <w:tcW w:w="1800" w:type="dxa"/>
            <w:shd w:val="clear" w:color="auto" w:fill="F2F2F2"/>
            <w:tcMar>
              <w:top w:w="60" w:type="dxa"/>
              <w:left w:w="100" w:type="dxa"/>
              <w:bottom w:w="60" w:type="dxa"/>
              <w:right w:w="100" w:type="dxa"/>
            </w:tcMar>
            <w:vAlign w:val="center"/>
          </w:tcPr>
          <w:p w14:paraId="4350BDE7" w14:textId="77777777" w:rsidR="00EE18AE" w:rsidRDefault="00000000">
            <w:r>
              <w:rPr>
                <w:sz w:val="19"/>
                <w:szCs w:val="19"/>
              </w:rPr>
              <w:t>Typically $0.125 (1/8 point) or finer electronically.</w:t>
            </w:r>
          </w:p>
        </w:tc>
        <w:tc>
          <w:tcPr>
            <w:tcW w:w="2000" w:type="dxa"/>
            <w:shd w:val="clear" w:color="auto" w:fill="F2F2F2"/>
            <w:tcMar>
              <w:top w:w="60" w:type="dxa"/>
              <w:left w:w="100" w:type="dxa"/>
              <w:bottom w:w="60" w:type="dxa"/>
              <w:right w:w="100" w:type="dxa"/>
            </w:tcMar>
            <w:vAlign w:val="center"/>
          </w:tcPr>
          <w:p w14:paraId="0B922C39" w14:textId="77777777" w:rsidR="00EE18AE" w:rsidRDefault="00000000">
            <w:r>
              <w:rPr>
                <w:sz w:val="19"/>
                <w:szCs w:val="19"/>
              </w:rPr>
              <w:t>T+1 (US, aligned with equities post-2024).</w:t>
            </w:r>
          </w:p>
        </w:tc>
      </w:tr>
      <w:tr w:rsidR="00EE18AE" w14:paraId="28EB42CE" w14:textId="77777777">
        <w:tblPrEx>
          <w:tblCellMar>
            <w:top w:w="0" w:type="dxa"/>
            <w:bottom w:w="0" w:type="dxa"/>
          </w:tblCellMar>
        </w:tblPrEx>
        <w:tc>
          <w:tcPr>
            <w:tcW w:w="2100" w:type="dxa"/>
            <w:tcMar>
              <w:top w:w="60" w:type="dxa"/>
              <w:left w:w="100" w:type="dxa"/>
              <w:bottom w:w="60" w:type="dxa"/>
              <w:right w:w="100" w:type="dxa"/>
            </w:tcMar>
            <w:vAlign w:val="center"/>
          </w:tcPr>
          <w:p w14:paraId="7092C877" w14:textId="77777777" w:rsidR="00EE18AE" w:rsidRDefault="00000000">
            <w:r>
              <w:rPr>
                <w:sz w:val="19"/>
                <w:szCs w:val="19"/>
              </w:rPr>
              <w:t>EUR/USD spot</w:t>
            </w:r>
          </w:p>
        </w:tc>
        <w:tc>
          <w:tcPr>
            <w:tcW w:w="1800" w:type="dxa"/>
            <w:tcMar>
              <w:top w:w="60" w:type="dxa"/>
              <w:left w:w="100" w:type="dxa"/>
              <w:bottom w:w="60" w:type="dxa"/>
              <w:right w:w="100" w:type="dxa"/>
            </w:tcMar>
            <w:vAlign w:val="center"/>
          </w:tcPr>
          <w:p w14:paraId="4A215E6A" w14:textId="77777777" w:rsidR="00EE18AE" w:rsidRDefault="00000000">
            <w:r>
              <w:rPr>
                <w:sz w:val="19"/>
                <w:szCs w:val="19"/>
              </w:rPr>
              <w:t>FX</w:t>
            </w:r>
          </w:p>
        </w:tc>
        <w:tc>
          <w:tcPr>
            <w:tcW w:w="2560" w:type="dxa"/>
            <w:tcMar>
              <w:top w:w="60" w:type="dxa"/>
              <w:left w:w="100" w:type="dxa"/>
              <w:bottom w:w="60" w:type="dxa"/>
              <w:right w:w="100" w:type="dxa"/>
            </w:tcMar>
            <w:vAlign w:val="center"/>
          </w:tcPr>
          <w:p w14:paraId="7D2FE989" w14:textId="77777777" w:rsidR="00EE18AE" w:rsidRDefault="00000000">
            <w:r>
              <w:rPr>
                <w:sz w:val="19"/>
                <w:szCs w:val="19"/>
              </w:rPr>
              <w:t>US dollars per euro, e.g. 1.08500.</w:t>
            </w:r>
          </w:p>
        </w:tc>
        <w:tc>
          <w:tcPr>
            <w:tcW w:w="1800" w:type="dxa"/>
            <w:tcMar>
              <w:top w:w="60" w:type="dxa"/>
              <w:left w:w="100" w:type="dxa"/>
              <w:bottom w:w="60" w:type="dxa"/>
              <w:right w:w="100" w:type="dxa"/>
            </w:tcMar>
            <w:vAlign w:val="center"/>
          </w:tcPr>
          <w:p w14:paraId="321F3597" w14:textId="77777777" w:rsidR="00EE18AE" w:rsidRDefault="00000000">
            <w:r>
              <w:rPr>
                <w:sz w:val="19"/>
                <w:szCs w:val="19"/>
              </w:rPr>
              <w:t>0.00001 (1/10 pip) electronically; 0.0001 (1 pip) traditionally.</w:t>
            </w:r>
          </w:p>
        </w:tc>
        <w:tc>
          <w:tcPr>
            <w:tcW w:w="2000" w:type="dxa"/>
            <w:tcMar>
              <w:top w:w="60" w:type="dxa"/>
              <w:left w:w="100" w:type="dxa"/>
              <w:bottom w:w="60" w:type="dxa"/>
              <w:right w:w="100" w:type="dxa"/>
            </w:tcMar>
            <w:vAlign w:val="center"/>
          </w:tcPr>
          <w:p w14:paraId="7257AF41" w14:textId="77777777" w:rsidR="00EE18AE" w:rsidRDefault="00000000">
            <w:r>
              <w:rPr>
                <w:sz w:val="19"/>
                <w:szCs w:val="19"/>
              </w:rPr>
              <w:t>T+2 (standard FX spot value date).</w:t>
            </w:r>
          </w:p>
        </w:tc>
      </w:tr>
      <w:tr w:rsidR="00EE18AE" w14:paraId="7CE45FD8" w14:textId="77777777">
        <w:tblPrEx>
          <w:tblCellMar>
            <w:top w:w="0" w:type="dxa"/>
            <w:bottom w:w="0" w:type="dxa"/>
          </w:tblCellMar>
        </w:tblPrEx>
        <w:tc>
          <w:tcPr>
            <w:tcW w:w="2100" w:type="dxa"/>
            <w:shd w:val="clear" w:color="auto" w:fill="F2F2F2"/>
            <w:tcMar>
              <w:top w:w="60" w:type="dxa"/>
              <w:left w:w="100" w:type="dxa"/>
              <w:bottom w:w="60" w:type="dxa"/>
              <w:right w:w="100" w:type="dxa"/>
            </w:tcMar>
            <w:vAlign w:val="center"/>
          </w:tcPr>
          <w:p w14:paraId="646EABC8" w14:textId="77777777" w:rsidR="00EE18AE" w:rsidRDefault="00000000">
            <w:r>
              <w:rPr>
                <w:sz w:val="19"/>
                <w:szCs w:val="19"/>
              </w:rPr>
              <w:lastRenderedPageBreak/>
              <w:t>WTI Crude Oil future (CME/NYMEX CL)</w:t>
            </w:r>
          </w:p>
        </w:tc>
        <w:tc>
          <w:tcPr>
            <w:tcW w:w="1800" w:type="dxa"/>
            <w:shd w:val="clear" w:color="auto" w:fill="F2F2F2"/>
            <w:tcMar>
              <w:top w:w="60" w:type="dxa"/>
              <w:left w:w="100" w:type="dxa"/>
              <w:bottom w:w="60" w:type="dxa"/>
              <w:right w:w="100" w:type="dxa"/>
            </w:tcMar>
            <w:vAlign w:val="center"/>
          </w:tcPr>
          <w:p w14:paraId="04C0F46C" w14:textId="77777777" w:rsidR="00EE18AE" w:rsidRDefault="00000000">
            <w:r>
              <w:rPr>
                <w:sz w:val="19"/>
                <w:szCs w:val="19"/>
              </w:rPr>
              <w:t>Commodity Future</w:t>
            </w:r>
          </w:p>
        </w:tc>
        <w:tc>
          <w:tcPr>
            <w:tcW w:w="2560" w:type="dxa"/>
            <w:shd w:val="clear" w:color="auto" w:fill="F2F2F2"/>
            <w:tcMar>
              <w:top w:w="60" w:type="dxa"/>
              <w:left w:w="100" w:type="dxa"/>
              <w:bottom w:w="60" w:type="dxa"/>
              <w:right w:w="100" w:type="dxa"/>
            </w:tcMar>
            <w:vAlign w:val="center"/>
          </w:tcPr>
          <w:p w14:paraId="796D81C3" w14:textId="77777777" w:rsidR="00EE18AE" w:rsidRDefault="00000000">
            <w:r>
              <w:rPr>
                <w:sz w:val="19"/>
                <w:szCs w:val="19"/>
              </w:rPr>
              <w:t>US$ per barrel.</w:t>
            </w:r>
          </w:p>
        </w:tc>
        <w:tc>
          <w:tcPr>
            <w:tcW w:w="1800" w:type="dxa"/>
            <w:shd w:val="clear" w:color="auto" w:fill="F2F2F2"/>
            <w:tcMar>
              <w:top w:w="60" w:type="dxa"/>
              <w:left w:w="100" w:type="dxa"/>
              <w:bottom w:w="60" w:type="dxa"/>
              <w:right w:w="100" w:type="dxa"/>
            </w:tcMar>
            <w:vAlign w:val="center"/>
          </w:tcPr>
          <w:p w14:paraId="79180E52" w14:textId="77777777" w:rsidR="00EE18AE" w:rsidRDefault="00000000">
            <w:r>
              <w:rPr>
                <w:sz w:val="19"/>
                <w:szCs w:val="19"/>
              </w:rPr>
              <w:t>$0.01/barrel = $10 per contract (1,000 barrels).</w:t>
            </w:r>
          </w:p>
        </w:tc>
        <w:tc>
          <w:tcPr>
            <w:tcW w:w="2000" w:type="dxa"/>
            <w:shd w:val="clear" w:color="auto" w:fill="F2F2F2"/>
            <w:tcMar>
              <w:top w:w="60" w:type="dxa"/>
              <w:left w:w="100" w:type="dxa"/>
              <w:bottom w:w="60" w:type="dxa"/>
              <w:right w:w="100" w:type="dxa"/>
            </w:tcMar>
            <w:vAlign w:val="center"/>
          </w:tcPr>
          <w:p w14:paraId="2AEA62FD" w14:textId="77777777" w:rsidR="00EE18AE" w:rsidRDefault="00000000">
            <w:r>
              <w:rPr>
                <w:sz w:val="19"/>
                <w:szCs w:val="19"/>
              </w:rPr>
              <w:t>Physically settled on expiry; daily variation margin before then.</w:t>
            </w:r>
          </w:p>
        </w:tc>
      </w:tr>
      <w:tr w:rsidR="00EE18AE" w14:paraId="15513453" w14:textId="77777777">
        <w:tblPrEx>
          <w:tblCellMar>
            <w:top w:w="0" w:type="dxa"/>
            <w:bottom w:w="0" w:type="dxa"/>
          </w:tblCellMar>
        </w:tblPrEx>
        <w:tc>
          <w:tcPr>
            <w:tcW w:w="2100" w:type="dxa"/>
            <w:tcMar>
              <w:top w:w="60" w:type="dxa"/>
              <w:left w:w="100" w:type="dxa"/>
              <w:bottom w:w="60" w:type="dxa"/>
              <w:right w:w="100" w:type="dxa"/>
            </w:tcMar>
            <w:vAlign w:val="center"/>
          </w:tcPr>
          <w:p w14:paraId="603DDCCD" w14:textId="77777777" w:rsidR="00EE18AE" w:rsidRDefault="00000000">
            <w:r>
              <w:rPr>
                <w:sz w:val="19"/>
                <w:szCs w:val="19"/>
              </w:rPr>
              <w:t>E-mini S&amp;P 500 future (CME ES)</w:t>
            </w:r>
          </w:p>
        </w:tc>
        <w:tc>
          <w:tcPr>
            <w:tcW w:w="1800" w:type="dxa"/>
            <w:tcMar>
              <w:top w:w="60" w:type="dxa"/>
              <w:left w:w="100" w:type="dxa"/>
              <w:bottom w:w="60" w:type="dxa"/>
              <w:right w:w="100" w:type="dxa"/>
            </w:tcMar>
            <w:vAlign w:val="center"/>
          </w:tcPr>
          <w:p w14:paraId="404C7D90" w14:textId="77777777" w:rsidR="00EE18AE" w:rsidRDefault="00000000">
            <w:r>
              <w:rPr>
                <w:sz w:val="19"/>
                <w:szCs w:val="19"/>
              </w:rPr>
              <w:t>Equity Index Future</w:t>
            </w:r>
          </w:p>
        </w:tc>
        <w:tc>
          <w:tcPr>
            <w:tcW w:w="2560" w:type="dxa"/>
            <w:tcMar>
              <w:top w:w="60" w:type="dxa"/>
              <w:left w:w="100" w:type="dxa"/>
              <w:bottom w:w="60" w:type="dxa"/>
              <w:right w:w="100" w:type="dxa"/>
            </w:tcMar>
            <w:vAlign w:val="center"/>
          </w:tcPr>
          <w:p w14:paraId="5179D607" w14:textId="77777777" w:rsidR="00EE18AE" w:rsidRDefault="00000000">
            <w:r>
              <w:rPr>
                <w:sz w:val="19"/>
                <w:szCs w:val="19"/>
              </w:rPr>
              <w:t>Index points.</w:t>
            </w:r>
          </w:p>
        </w:tc>
        <w:tc>
          <w:tcPr>
            <w:tcW w:w="1800" w:type="dxa"/>
            <w:tcMar>
              <w:top w:w="60" w:type="dxa"/>
              <w:left w:w="100" w:type="dxa"/>
              <w:bottom w:w="60" w:type="dxa"/>
              <w:right w:w="100" w:type="dxa"/>
            </w:tcMar>
            <w:vAlign w:val="center"/>
          </w:tcPr>
          <w:p w14:paraId="4A14A6C8" w14:textId="77777777" w:rsidR="00EE18AE" w:rsidRDefault="00000000">
            <w:r>
              <w:rPr>
                <w:sz w:val="19"/>
                <w:szCs w:val="19"/>
              </w:rPr>
              <w:t>0.25 points = $12.50 per contract.</w:t>
            </w:r>
          </w:p>
        </w:tc>
        <w:tc>
          <w:tcPr>
            <w:tcW w:w="2000" w:type="dxa"/>
            <w:tcMar>
              <w:top w:w="60" w:type="dxa"/>
              <w:left w:w="100" w:type="dxa"/>
              <w:bottom w:w="60" w:type="dxa"/>
              <w:right w:w="100" w:type="dxa"/>
            </w:tcMar>
            <w:vAlign w:val="center"/>
          </w:tcPr>
          <w:p w14:paraId="154F1123" w14:textId="77777777" w:rsidR="00EE18AE" w:rsidRDefault="00000000">
            <w:r>
              <w:rPr>
                <w:sz w:val="19"/>
                <w:szCs w:val="19"/>
              </w:rPr>
              <w:t>Cash-settled on expiry; daily variation margin before then.</w:t>
            </w:r>
          </w:p>
        </w:tc>
      </w:tr>
      <w:tr w:rsidR="00EE18AE" w14:paraId="7F678F96" w14:textId="77777777">
        <w:tblPrEx>
          <w:tblCellMar>
            <w:top w:w="0" w:type="dxa"/>
            <w:bottom w:w="0" w:type="dxa"/>
          </w:tblCellMar>
        </w:tblPrEx>
        <w:tc>
          <w:tcPr>
            <w:tcW w:w="2100" w:type="dxa"/>
            <w:shd w:val="clear" w:color="auto" w:fill="F2F2F2"/>
            <w:tcMar>
              <w:top w:w="60" w:type="dxa"/>
              <w:left w:w="100" w:type="dxa"/>
              <w:bottom w:w="60" w:type="dxa"/>
              <w:right w:w="100" w:type="dxa"/>
            </w:tcMar>
            <w:vAlign w:val="center"/>
          </w:tcPr>
          <w:p w14:paraId="67510800" w14:textId="77777777" w:rsidR="00EE18AE" w:rsidRDefault="00000000">
            <w:r>
              <w:rPr>
                <w:sz w:val="19"/>
                <w:szCs w:val="19"/>
              </w:rPr>
              <w:t>SPX index option</w:t>
            </w:r>
          </w:p>
        </w:tc>
        <w:tc>
          <w:tcPr>
            <w:tcW w:w="1800" w:type="dxa"/>
            <w:shd w:val="clear" w:color="auto" w:fill="F2F2F2"/>
            <w:tcMar>
              <w:top w:w="60" w:type="dxa"/>
              <w:left w:w="100" w:type="dxa"/>
              <w:bottom w:w="60" w:type="dxa"/>
              <w:right w:w="100" w:type="dxa"/>
            </w:tcMar>
            <w:vAlign w:val="center"/>
          </w:tcPr>
          <w:p w14:paraId="2AACDC84" w14:textId="77777777" w:rsidR="00EE18AE" w:rsidRDefault="00000000">
            <w:r>
              <w:rPr>
                <w:sz w:val="19"/>
                <w:szCs w:val="19"/>
              </w:rPr>
              <w:t>Option</w:t>
            </w:r>
          </w:p>
        </w:tc>
        <w:tc>
          <w:tcPr>
            <w:tcW w:w="2560" w:type="dxa"/>
            <w:shd w:val="clear" w:color="auto" w:fill="F2F2F2"/>
            <w:tcMar>
              <w:top w:w="60" w:type="dxa"/>
              <w:left w:w="100" w:type="dxa"/>
              <w:bottom w:w="60" w:type="dxa"/>
              <w:right w:w="100" w:type="dxa"/>
            </w:tcMar>
            <w:vAlign w:val="center"/>
          </w:tcPr>
          <w:p w14:paraId="449478BD" w14:textId="77777777" w:rsidR="00EE18AE" w:rsidRDefault="00000000">
            <w:r>
              <w:rPr>
                <w:sz w:val="19"/>
                <w:szCs w:val="19"/>
              </w:rPr>
              <w:t>Premium in index points, multiplied by $100.</w:t>
            </w:r>
          </w:p>
        </w:tc>
        <w:tc>
          <w:tcPr>
            <w:tcW w:w="1800" w:type="dxa"/>
            <w:shd w:val="clear" w:color="auto" w:fill="F2F2F2"/>
            <w:tcMar>
              <w:top w:w="60" w:type="dxa"/>
              <w:left w:w="100" w:type="dxa"/>
              <w:bottom w:w="60" w:type="dxa"/>
              <w:right w:w="100" w:type="dxa"/>
            </w:tcMar>
            <w:vAlign w:val="center"/>
          </w:tcPr>
          <w:p w14:paraId="0EE8BAC3" w14:textId="77777777" w:rsidR="00EE18AE" w:rsidRDefault="00000000">
            <w:r>
              <w:rPr>
                <w:sz w:val="19"/>
                <w:szCs w:val="19"/>
              </w:rPr>
              <w:t>$0.05 (below $3.00 premium) or $0.10 (at/above).</w:t>
            </w:r>
          </w:p>
        </w:tc>
        <w:tc>
          <w:tcPr>
            <w:tcW w:w="2000" w:type="dxa"/>
            <w:shd w:val="clear" w:color="auto" w:fill="F2F2F2"/>
            <w:tcMar>
              <w:top w:w="60" w:type="dxa"/>
              <w:left w:w="100" w:type="dxa"/>
              <w:bottom w:w="60" w:type="dxa"/>
              <w:right w:w="100" w:type="dxa"/>
            </w:tcMar>
            <w:vAlign w:val="center"/>
          </w:tcPr>
          <w:p w14:paraId="115184FD" w14:textId="77777777" w:rsidR="00EE18AE" w:rsidRDefault="00000000">
            <w:r>
              <w:rPr>
                <w:sz w:val="19"/>
                <w:szCs w:val="19"/>
              </w:rPr>
              <w:t>Cash-settled on expiry; T+1 for any premium payment.</w:t>
            </w:r>
          </w:p>
        </w:tc>
      </w:tr>
      <w:tr w:rsidR="00EE18AE" w14:paraId="258DA735" w14:textId="77777777">
        <w:tblPrEx>
          <w:tblCellMar>
            <w:top w:w="0" w:type="dxa"/>
            <w:bottom w:w="0" w:type="dxa"/>
          </w:tblCellMar>
        </w:tblPrEx>
        <w:tc>
          <w:tcPr>
            <w:tcW w:w="2100" w:type="dxa"/>
            <w:tcMar>
              <w:top w:w="60" w:type="dxa"/>
              <w:left w:w="100" w:type="dxa"/>
              <w:bottom w:w="60" w:type="dxa"/>
              <w:right w:w="100" w:type="dxa"/>
            </w:tcMar>
            <w:vAlign w:val="center"/>
          </w:tcPr>
          <w:p w14:paraId="42FC57BE" w14:textId="77777777" w:rsidR="00EE18AE" w:rsidRDefault="00000000">
            <w:r>
              <w:rPr>
                <w:sz w:val="19"/>
                <w:szCs w:val="19"/>
              </w:rPr>
              <w:t>Bitcoin (BTC/USD spot)</w:t>
            </w:r>
          </w:p>
        </w:tc>
        <w:tc>
          <w:tcPr>
            <w:tcW w:w="1800" w:type="dxa"/>
            <w:tcMar>
              <w:top w:w="60" w:type="dxa"/>
              <w:left w:w="100" w:type="dxa"/>
              <w:bottom w:w="60" w:type="dxa"/>
              <w:right w:w="100" w:type="dxa"/>
            </w:tcMar>
            <w:vAlign w:val="center"/>
          </w:tcPr>
          <w:p w14:paraId="65BEDD3A" w14:textId="77777777" w:rsidR="00EE18AE" w:rsidRDefault="00000000">
            <w:r>
              <w:rPr>
                <w:sz w:val="19"/>
                <w:szCs w:val="19"/>
              </w:rPr>
              <w:t>Crypto</w:t>
            </w:r>
          </w:p>
        </w:tc>
        <w:tc>
          <w:tcPr>
            <w:tcW w:w="2560" w:type="dxa"/>
            <w:tcMar>
              <w:top w:w="60" w:type="dxa"/>
              <w:left w:w="100" w:type="dxa"/>
              <w:bottom w:w="60" w:type="dxa"/>
              <w:right w:w="100" w:type="dxa"/>
            </w:tcMar>
            <w:vAlign w:val="center"/>
          </w:tcPr>
          <w:p w14:paraId="6639E5AA" w14:textId="77777777" w:rsidR="00EE18AE" w:rsidRDefault="00000000">
            <w:r>
              <w:rPr>
                <w:sz w:val="19"/>
                <w:szCs w:val="19"/>
              </w:rPr>
              <w:t>US dollars per coin, continuous decimal.</w:t>
            </w:r>
          </w:p>
        </w:tc>
        <w:tc>
          <w:tcPr>
            <w:tcW w:w="1800" w:type="dxa"/>
            <w:tcMar>
              <w:top w:w="60" w:type="dxa"/>
              <w:left w:w="100" w:type="dxa"/>
              <w:bottom w:w="60" w:type="dxa"/>
              <w:right w:w="100" w:type="dxa"/>
            </w:tcMar>
            <w:vAlign w:val="center"/>
          </w:tcPr>
          <w:p w14:paraId="562CA4AA" w14:textId="77777777" w:rsidR="00EE18AE" w:rsidRDefault="00000000">
            <w:r>
              <w:rPr>
                <w:sz w:val="19"/>
                <w:szCs w:val="19"/>
              </w:rPr>
              <w:t>Typically $0.01–$1 depending on venue (no formal minimum tick on most venues).</w:t>
            </w:r>
          </w:p>
        </w:tc>
        <w:tc>
          <w:tcPr>
            <w:tcW w:w="2000" w:type="dxa"/>
            <w:tcMar>
              <w:top w:w="60" w:type="dxa"/>
              <w:left w:w="100" w:type="dxa"/>
              <w:bottom w:w="60" w:type="dxa"/>
              <w:right w:w="100" w:type="dxa"/>
            </w:tcMar>
            <w:vAlign w:val="center"/>
          </w:tcPr>
          <w:p w14:paraId="09B5FBE8" w14:textId="77777777" w:rsidR="00EE18AE" w:rsidRDefault="00000000">
            <w:r>
              <w:rPr>
                <w:sz w:val="19"/>
                <w:szCs w:val="19"/>
              </w:rPr>
              <w:t>Near-instant on-chain/exchange-ledger settlement (minutes, not days).</w:t>
            </w:r>
          </w:p>
        </w:tc>
      </w:tr>
      <w:tr w:rsidR="00EE18AE" w14:paraId="0B6C721F" w14:textId="77777777">
        <w:tblPrEx>
          <w:tblCellMar>
            <w:top w:w="0" w:type="dxa"/>
            <w:bottom w:w="0" w:type="dxa"/>
          </w:tblCellMar>
        </w:tblPrEx>
        <w:tc>
          <w:tcPr>
            <w:tcW w:w="2100" w:type="dxa"/>
            <w:shd w:val="clear" w:color="auto" w:fill="F2F2F2"/>
            <w:tcMar>
              <w:top w:w="60" w:type="dxa"/>
              <w:left w:w="100" w:type="dxa"/>
              <w:bottom w:w="60" w:type="dxa"/>
              <w:right w:w="100" w:type="dxa"/>
            </w:tcMar>
            <w:vAlign w:val="center"/>
          </w:tcPr>
          <w:p w14:paraId="4654715F" w14:textId="77777777" w:rsidR="00EE18AE" w:rsidRDefault="00000000">
            <w:r>
              <w:rPr>
                <w:sz w:val="19"/>
                <w:szCs w:val="19"/>
              </w:rPr>
              <w:t>BTC-USD Perpetual Future</w:t>
            </w:r>
          </w:p>
        </w:tc>
        <w:tc>
          <w:tcPr>
            <w:tcW w:w="1800" w:type="dxa"/>
            <w:shd w:val="clear" w:color="auto" w:fill="F2F2F2"/>
            <w:tcMar>
              <w:top w:w="60" w:type="dxa"/>
              <w:left w:w="100" w:type="dxa"/>
              <w:bottom w:w="60" w:type="dxa"/>
              <w:right w:w="100" w:type="dxa"/>
            </w:tcMar>
            <w:vAlign w:val="center"/>
          </w:tcPr>
          <w:p w14:paraId="308E308A" w14:textId="77777777" w:rsidR="00EE18AE" w:rsidRDefault="00000000">
            <w:r>
              <w:rPr>
                <w:sz w:val="19"/>
                <w:szCs w:val="19"/>
              </w:rPr>
              <w:t>Perpetual Future</w:t>
            </w:r>
          </w:p>
        </w:tc>
        <w:tc>
          <w:tcPr>
            <w:tcW w:w="2560" w:type="dxa"/>
            <w:shd w:val="clear" w:color="auto" w:fill="F2F2F2"/>
            <w:tcMar>
              <w:top w:w="60" w:type="dxa"/>
              <w:left w:w="100" w:type="dxa"/>
              <w:bottom w:w="60" w:type="dxa"/>
              <w:right w:w="100" w:type="dxa"/>
            </w:tcMar>
            <w:vAlign w:val="center"/>
          </w:tcPr>
          <w:p w14:paraId="59E8EE9B" w14:textId="77777777" w:rsidR="00EE18AE" w:rsidRDefault="00000000">
            <w:r>
              <w:rPr>
                <w:sz w:val="19"/>
                <w:szCs w:val="19"/>
              </w:rPr>
              <w:t>US dollars per coin, tracks spot via funding.</w:t>
            </w:r>
          </w:p>
        </w:tc>
        <w:tc>
          <w:tcPr>
            <w:tcW w:w="1800" w:type="dxa"/>
            <w:shd w:val="clear" w:color="auto" w:fill="F2F2F2"/>
            <w:tcMar>
              <w:top w:w="60" w:type="dxa"/>
              <w:left w:w="100" w:type="dxa"/>
              <w:bottom w:w="60" w:type="dxa"/>
              <w:right w:w="100" w:type="dxa"/>
            </w:tcMar>
            <w:vAlign w:val="center"/>
          </w:tcPr>
          <w:p w14:paraId="58168D4B" w14:textId="77777777" w:rsidR="00EE18AE" w:rsidRDefault="00000000">
            <w:r>
              <w:rPr>
                <w:sz w:val="19"/>
                <w:szCs w:val="19"/>
              </w:rPr>
              <w:t>Venue-dependent, often $0.10–$1.</w:t>
            </w:r>
          </w:p>
        </w:tc>
        <w:tc>
          <w:tcPr>
            <w:tcW w:w="2000" w:type="dxa"/>
            <w:shd w:val="clear" w:color="auto" w:fill="F2F2F2"/>
            <w:tcMar>
              <w:top w:w="60" w:type="dxa"/>
              <w:left w:w="100" w:type="dxa"/>
              <w:bottom w:w="60" w:type="dxa"/>
              <w:right w:w="100" w:type="dxa"/>
            </w:tcMar>
            <w:vAlign w:val="center"/>
          </w:tcPr>
          <w:p w14:paraId="7437600B" w14:textId="77777777" w:rsidR="00EE18AE" w:rsidRDefault="00000000">
            <w:r>
              <w:rPr>
                <w:sz w:val="19"/>
                <w:szCs w:val="19"/>
              </w:rPr>
              <w:t>No expiry/physical settlement; funding paid every 8 hours (typical).</w:t>
            </w:r>
          </w:p>
        </w:tc>
      </w:tr>
    </w:tbl>
    <w:p w14:paraId="5A62C6EF" w14:textId="77777777" w:rsidR="00EE18AE" w:rsidRDefault="00000000">
      <w:pPr>
        <w:pStyle w:val="Heading2"/>
        <w:spacing w:before="260"/>
      </w:pPr>
      <w:bookmarkStart w:id="19" w:name="_Toc239542914"/>
      <w:r>
        <w:t>2.4 Deep Dive: Bonds Quote and Move Differently From Equities</w:t>
      </w:r>
      <w:bookmarkEnd w:id="19"/>
    </w:p>
    <w:p w14:paraId="1A769718" w14:textId="77777777" w:rsidR="00EE18AE" w:rsidRDefault="00000000">
      <w:pPr>
        <w:spacing w:after="120"/>
      </w:pPr>
      <w:r>
        <w:t>The single most common beginner mistake in this section — treating bond yields like equity prices — comes from an intuitive but wrong assumption: that a bond's “price” behaves like a stock's price. In fact, a bond's price and its yield move in opposite directions, because a bond's cash flows (coupons and principal) are fixed, so a higher required return (yield) can only be achieved by paying less for those same fixed cash flows today.</w:t>
      </w:r>
    </w:p>
    <w:tbl>
      <w:tblPr>
        <w:tblW w:w="10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600"/>
        <w:gridCol w:w="3060"/>
      </w:tblGrid>
      <w:tr w:rsidR="00EE18AE" w14:paraId="41A1ACBD" w14:textId="77777777">
        <w:tblPrEx>
          <w:tblCellMar>
            <w:top w:w="0" w:type="dxa"/>
            <w:bottom w:w="0" w:type="dxa"/>
          </w:tblCellMar>
        </w:tblPrEx>
        <w:trPr>
          <w:tblHeader/>
        </w:trPr>
        <w:tc>
          <w:tcPr>
            <w:tcW w:w="2600" w:type="dxa"/>
            <w:shd w:val="clear" w:color="auto" w:fill="1F3864"/>
            <w:tcMar>
              <w:top w:w="60" w:type="dxa"/>
              <w:left w:w="100" w:type="dxa"/>
              <w:bottom w:w="60" w:type="dxa"/>
              <w:right w:w="100" w:type="dxa"/>
            </w:tcMar>
            <w:vAlign w:val="center"/>
          </w:tcPr>
          <w:p w14:paraId="528F2625" w14:textId="77777777" w:rsidR="00EE18AE" w:rsidRDefault="00000000">
            <w:r>
              <w:rPr>
                <w:b/>
                <w:bCs/>
                <w:color w:val="FFFFFF"/>
                <w:sz w:val="19"/>
                <w:szCs w:val="19"/>
              </w:rPr>
              <w:t>Yield to Maturity</w:t>
            </w:r>
          </w:p>
        </w:tc>
        <w:tc>
          <w:tcPr>
            <w:tcW w:w="4600" w:type="dxa"/>
            <w:shd w:val="clear" w:color="auto" w:fill="1F3864"/>
            <w:tcMar>
              <w:top w:w="60" w:type="dxa"/>
              <w:left w:w="100" w:type="dxa"/>
              <w:bottom w:w="60" w:type="dxa"/>
              <w:right w:w="100" w:type="dxa"/>
            </w:tcMar>
            <w:vAlign w:val="center"/>
          </w:tcPr>
          <w:p w14:paraId="58B73CA5" w14:textId="77777777" w:rsidR="00EE18AE" w:rsidRDefault="00000000">
            <w:r>
              <w:rPr>
                <w:b/>
                <w:bCs/>
                <w:color w:val="FFFFFF"/>
                <w:sz w:val="19"/>
                <w:szCs w:val="19"/>
              </w:rPr>
              <w:t>Approx. Price (per $100 face, 10Y, 4% annual coupon)</w:t>
            </w:r>
          </w:p>
        </w:tc>
        <w:tc>
          <w:tcPr>
            <w:tcW w:w="3060" w:type="dxa"/>
            <w:shd w:val="clear" w:color="auto" w:fill="1F3864"/>
            <w:tcMar>
              <w:top w:w="60" w:type="dxa"/>
              <w:left w:w="100" w:type="dxa"/>
              <w:bottom w:w="60" w:type="dxa"/>
              <w:right w:w="100" w:type="dxa"/>
            </w:tcMar>
            <w:vAlign w:val="center"/>
          </w:tcPr>
          <w:p w14:paraId="089E72AB" w14:textId="77777777" w:rsidR="00EE18AE" w:rsidRDefault="00000000">
            <w:r>
              <w:rPr>
                <w:b/>
                <w:bCs/>
                <w:color w:val="FFFFFF"/>
                <w:sz w:val="19"/>
                <w:szCs w:val="19"/>
              </w:rPr>
              <w:t>Price Change from Base</w:t>
            </w:r>
          </w:p>
        </w:tc>
      </w:tr>
      <w:tr w:rsidR="00EE18AE" w14:paraId="4CEB5D95" w14:textId="77777777">
        <w:tblPrEx>
          <w:tblCellMar>
            <w:top w:w="0" w:type="dxa"/>
            <w:bottom w:w="0" w:type="dxa"/>
          </w:tblCellMar>
        </w:tblPrEx>
        <w:tc>
          <w:tcPr>
            <w:tcW w:w="2600" w:type="dxa"/>
            <w:tcMar>
              <w:top w:w="60" w:type="dxa"/>
              <w:left w:w="100" w:type="dxa"/>
              <w:bottom w:w="60" w:type="dxa"/>
              <w:right w:w="100" w:type="dxa"/>
            </w:tcMar>
            <w:vAlign w:val="center"/>
          </w:tcPr>
          <w:p w14:paraId="726CA559" w14:textId="77777777" w:rsidR="00EE18AE" w:rsidRDefault="00000000">
            <w:r>
              <w:rPr>
                <w:sz w:val="19"/>
                <w:szCs w:val="19"/>
              </w:rPr>
              <w:t>3.0%</w:t>
            </w:r>
          </w:p>
        </w:tc>
        <w:tc>
          <w:tcPr>
            <w:tcW w:w="4600" w:type="dxa"/>
            <w:tcMar>
              <w:top w:w="60" w:type="dxa"/>
              <w:left w:w="100" w:type="dxa"/>
              <w:bottom w:w="60" w:type="dxa"/>
              <w:right w:w="100" w:type="dxa"/>
            </w:tcMar>
            <w:vAlign w:val="center"/>
          </w:tcPr>
          <w:p w14:paraId="4D104D9A" w14:textId="77777777" w:rsidR="00EE18AE" w:rsidRDefault="00000000">
            <w:r>
              <w:rPr>
                <w:sz w:val="19"/>
                <w:szCs w:val="19"/>
              </w:rPr>
              <w:t>$108.53</w:t>
            </w:r>
          </w:p>
        </w:tc>
        <w:tc>
          <w:tcPr>
            <w:tcW w:w="3060" w:type="dxa"/>
            <w:tcMar>
              <w:top w:w="60" w:type="dxa"/>
              <w:left w:w="100" w:type="dxa"/>
              <w:bottom w:w="60" w:type="dxa"/>
              <w:right w:w="100" w:type="dxa"/>
            </w:tcMar>
            <w:vAlign w:val="center"/>
          </w:tcPr>
          <w:p w14:paraId="057DF9F8" w14:textId="77777777" w:rsidR="00EE18AE" w:rsidRDefault="00000000">
            <w:r>
              <w:rPr>
                <w:sz w:val="19"/>
                <w:szCs w:val="19"/>
              </w:rPr>
              <w:t>+8.53</w:t>
            </w:r>
          </w:p>
        </w:tc>
      </w:tr>
      <w:tr w:rsidR="00EE18AE" w14:paraId="34472123"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C7209B2" w14:textId="77777777" w:rsidR="00EE18AE" w:rsidRDefault="00000000">
            <w:r>
              <w:rPr>
                <w:sz w:val="19"/>
                <w:szCs w:val="19"/>
              </w:rPr>
              <w:t>3.5%</w:t>
            </w:r>
          </w:p>
        </w:tc>
        <w:tc>
          <w:tcPr>
            <w:tcW w:w="4600" w:type="dxa"/>
            <w:shd w:val="clear" w:color="auto" w:fill="F2F2F2"/>
            <w:tcMar>
              <w:top w:w="60" w:type="dxa"/>
              <w:left w:w="100" w:type="dxa"/>
              <w:bottom w:w="60" w:type="dxa"/>
              <w:right w:w="100" w:type="dxa"/>
            </w:tcMar>
            <w:vAlign w:val="center"/>
          </w:tcPr>
          <w:p w14:paraId="3DEAF96F" w14:textId="77777777" w:rsidR="00EE18AE" w:rsidRDefault="00000000">
            <w:r>
              <w:rPr>
                <w:sz w:val="19"/>
                <w:szCs w:val="19"/>
              </w:rPr>
              <w:t>$104.16</w:t>
            </w:r>
          </w:p>
        </w:tc>
        <w:tc>
          <w:tcPr>
            <w:tcW w:w="3060" w:type="dxa"/>
            <w:shd w:val="clear" w:color="auto" w:fill="F2F2F2"/>
            <w:tcMar>
              <w:top w:w="60" w:type="dxa"/>
              <w:left w:w="100" w:type="dxa"/>
              <w:bottom w:w="60" w:type="dxa"/>
              <w:right w:w="100" w:type="dxa"/>
            </w:tcMar>
            <w:vAlign w:val="center"/>
          </w:tcPr>
          <w:p w14:paraId="7A6FF641" w14:textId="77777777" w:rsidR="00EE18AE" w:rsidRDefault="00000000">
            <w:r>
              <w:rPr>
                <w:sz w:val="19"/>
                <w:szCs w:val="19"/>
              </w:rPr>
              <w:t>+4.16</w:t>
            </w:r>
          </w:p>
        </w:tc>
      </w:tr>
      <w:tr w:rsidR="00EE18AE" w14:paraId="3BCED687" w14:textId="77777777">
        <w:tblPrEx>
          <w:tblCellMar>
            <w:top w:w="0" w:type="dxa"/>
            <w:bottom w:w="0" w:type="dxa"/>
          </w:tblCellMar>
        </w:tblPrEx>
        <w:tc>
          <w:tcPr>
            <w:tcW w:w="2600" w:type="dxa"/>
            <w:tcMar>
              <w:top w:w="60" w:type="dxa"/>
              <w:left w:w="100" w:type="dxa"/>
              <w:bottom w:w="60" w:type="dxa"/>
              <w:right w:w="100" w:type="dxa"/>
            </w:tcMar>
            <w:vAlign w:val="center"/>
          </w:tcPr>
          <w:p w14:paraId="27CF096B" w14:textId="77777777" w:rsidR="00EE18AE" w:rsidRDefault="00000000">
            <w:r>
              <w:rPr>
                <w:sz w:val="19"/>
                <w:szCs w:val="19"/>
              </w:rPr>
              <w:t>4.0% (base case: price = par)</w:t>
            </w:r>
          </w:p>
        </w:tc>
        <w:tc>
          <w:tcPr>
            <w:tcW w:w="4600" w:type="dxa"/>
            <w:tcMar>
              <w:top w:w="60" w:type="dxa"/>
              <w:left w:w="100" w:type="dxa"/>
              <w:bottom w:w="60" w:type="dxa"/>
              <w:right w:w="100" w:type="dxa"/>
            </w:tcMar>
            <w:vAlign w:val="center"/>
          </w:tcPr>
          <w:p w14:paraId="4CA90F35" w14:textId="77777777" w:rsidR="00EE18AE" w:rsidRDefault="00000000">
            <w:r>
              <w:rPr>
                <w:sz w:val="19"/>
                <w:szCs w:val="19"/>
              </w:rPr>
              <w:t>$100.00</w:t>
            </w:r>
          </w:p>
        </w:tc>
        <w:tc>
          <w:tcPr>
            <w:tcW w:w="3060" w:type="dxa"/>
            <w:tcMar>
              <w:top w:w="60" w:type="dxa"/>
              <w:left w:w="100" w:type="dxa"/>
              <w:bottom w:w="60" w:type="dxa"/>
              <w:right w:w="100" w:type="dxa"/>
            </w:tcMar>
            <w:vAlign w:val="center"/>
          </w:tcPr>
          <w:p w14:paraId="0CB94D15" w14:textId="77777777" w:rsidR="00EE18AE" w:rsidRDefault="00000000">
            <w:r>
              <w:rPr>
                <w:sz w:val="19"/>
                <w:szCs w:val="19"/>
              </w:rPr>
              <w:t>—</w:t>
            </w:r>
          </w:p>
        </w:tc>
      </w:tr>
      <w:tr w:rsidR="00EE18AE" w14:paraId="0AA85684"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908BFDB" w14:textId="77777777" w:rsidR="00EE18AE" w:rsidRDefault="00000000">
            <w:r>
              <w:rPr>
                <w:sz w:val="19"/>
                <w:szCs w:val="19"/>
              </w:rPr>
              <w:t>4.5%</w:t>
            </w:r>
          </w:p>
        </w:tc>
        <w:tc>
          <w:tcPr>
            <w:tcW w:w="4600" w:type="dxa"/>
            <w:shd w:val="clear" w:color="auto" w:fill="F2F2F2"/>
            <w:tcMar>
              <w:top w:w="60" w:type="dxa"/>
              <w:left w:w="100" w:type="dxa"/>
              <w:bottom w:w="60" w:type="dxa"/>
              <w:right w:w="100" w:type="dxa"/>
            </w:tcMar>
            <w:vAlign w:val="center"/>
          </w:tcPr>
          <w:p w14:paraId="2FB4DAA0" w14:textId="77777777" w:rsidR="00EE18AE" w:rsidRDefault="00000000">
            <w:r>
              <w:rPr>
                <w:sz w:val="19"/>
                <w:szCs w:val="19"/>
              </w:rPr>
              <w:t>$96.01</w:t>
            </w:r>
          </w:p>
        </w:tc>
        <w:tc>
          <w:tcPr>
            <w:tcW w:w="3060" w:type="dxa"/>
            <w:shd w:val="clear" w:color="auto" w:fill="F2F2F2"/>
            <w:tcMar>
              <w:top w:w="60" w:type="dxa"/>
              <w:left w:w="100" w:type="dxa"/>
              <w:bottom w:w="60" w:type="dxa"/>
              <w:right w:w="100" w:type="dxa"/>
            </w:tcMar>
            <w:vAlign w:val="center"/>
          </w:tcPr>
          <w:p w14:paraId="4833EA17" w14:textId="77777777" w:rsidR="00EE18AE" w:rsidRDefault="00000000">
            <w:r>
              <w:rPr>
                <w:sz w:val="19"/>
                <w:szCs w:val="19"/>
              </w:rPr>
              <w:t>−3.99</w:t>
            </w:r>
          </w:p>
        </w:tc>
      </w:tr>
      <w:tr w:rsidR="00EE18AE" w14:paraId="7A2FA579" w14:textId="77777777">
        <w:tblPrEx>
          <w:tblCellMar>
            <w:top w:w="0" w:type="dxa"/>
            <w:bottom w:w="0" w:type="dxa"/>
          </w:tblCellMar>
        </w:tblPrEx>
        <w:tc>
          <w:tcPr>
            <w:tcW w:w="2600" w:type="dxa"/>
            <w:tcMar>
              <w:top w:w="60" w:type="dxa"/>
              <w:left w:w="100" w:type="dxa"/>
              <w:bottom w:w="60" w:type="dxa"/>
              <w:right w:w="100" w:type="dxa"/>
            </w:tcMar>
            <w:vAlign w:val="center"/>
          </w:tcPr>
          <w:p w14:paraId="770BB77A" w14:textId="77777777" w:rsidR="00EE18AE" w:rsidRDefault="00000000">
            <w:r>
              <w:rPr>
                <w:sz w:val="19"/>
                <w:szCs w:val="19"/>
              </w:rPr>
              <w:t>5.0%</w:t>
            </w:r>
          </w:p>
        </w:tc>
        <w:tc>
          <w:tcPr>
            <w:tcW w:w="4600" w:type="dxa"/>
            <w:tcMar>
              <w:top w:w="60" w:type="dxa"/>
              <w:left w:w="100" w:type="dxa"/>
              <w:bottom w:w="60" w:type="dxa"/>
              <w:right w:w="100" w:type="dxa"/>
            </w:tcMar>
            <w:vAlign w:val="center"/>
          </w:tcPr>
          <w:p w14:paraId="178AC5FF" w14:textId="77777777" w:rsidR="00EE18AE" w:rsidRDefault="00000000">
            <w:r>
              <w:rPr>
                <w:sz w:val="19"/>
                <w:szCs w:val="19"/>
              </w:rPr>
              <w:t>$92.28</w:t>
            </w:r>
          </w:p>
        </w:tc>
        <w:tc>
          <w:tcPr>
            <w:tcW w:w="3060" w:type="dxa"/>
            <w:tcMar>
              <w:top w:w="60" w:type="dxa"/>
              <w:left w:w="100" w:type="dxa"/>
              <w:bottom w:w="60" w:type="dxa"/>
              <w:right w:w="100" w:type="dxa"/>
            </w:tcMar>
            <w:vAlign w:val="center"/>
          </w:tcPr>
          <w:p w14:paraId="41DA9916" w14:textId="77777777" w:rsidR="00EE18AE" w:rsidRDefault="00000000">
            <w:r>
              <w:rPr>
                <w:sz w:val="19"/>
                <w:szCs w:val="19"/>
              </w:rPr>
              <w:t>−7.72</w:t>
            </w:r>
          </w:p>
        </w:tc>
      </w:tr>
      <w:tr w:rsidR="00EE18AE" w14:paraId="5FCE2F51"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10EC13E9" w14:textId="77777777" w:rsidR="00EE18AE" w:rsidRDefault="00000000">
            <w:r>
              <w:rPr>
                <w:sz w:val="19"/>
                <w:szCs w:val="19"/>
              </w:rPr>
              <w:t>5.5%</w:t>
            </w:r>
          </w:p>
        </w:tc>
        <w:tc>
          <w:tcPr>
            <w:tcW w:w="4600" w:type="dxa"/>
            <w:shd w:val="clear" w:color="auto" w:fill="F2F2F2"/>
            <w:tcMar>
              <w:top w:w="60" w:type="dxa"/>
              <w:left w:w="100" w:type="dxa"/>
              <w:bottom w:w="60" w:type="dxa"/>
              <w:right w:w="100" w:type="dxa"/>
            </w:tcMar>
            <w:vAlign w:val="center"/>
          </w:tcPr>
          <w:p w14:paraId="4BC49C59" w14:textId="77777777" w:rsidR="00EE18AE" w:rsidRDefault="00000000">
            <w:r>
              <w:rPr>
                <w:sz w:val="19"/>
                <w:szCs w:val="19"/>
              </w:rPr>
              <w:t>$88.79</w:t>
            </w:r>
          </w:p>
        </w:tc>
        <w:tc>
          <w:tcPr>
            <w:tcW w:w="3060" w:type="dxa"/>
            <w:shd w:val="clear" w:color="auto" w:fill="F2F2F2"/>
            <w:tcMar>
              <w:top w:w="60" w:type="dxa"/>
              <w:left w:w="100" w:type="dxa"/>
              <w:bottom w:w="60" w:type="dxa"/>
              <w:right w:w="100" w:type="dxa"/>
            </w:tcMar>
            <w:vAlign w:val="center"/>
          </w:tcPr>
          <w:p w14:paraId="50AEDFD8" w14:textId="77777777" w:rsidR="00EE18AE" w:rsidRDefault="00000000">
            <w:r>
              <w:rPr>
                <w:sz w:val="19"/>
                <w:szCs w:val="19"/>
              </w:rPr>
              <w:t>−11.21</w:t>
            </w:r>
          </w:p>
        </w:tc>
      </w:tr>
    </w:tbl>
    <w:p w14:paraId="03FA2C11" w14:textId="77777777" w:rsidR="00EE18AE" w:rsidRDefault="00000000">
      <w:pPr>
        <w:spacing w:after="120"/>
      </w:pPr>
      <w:r>
        <w:t>Notice the asymmetry: a 1.5 percentage-point yield rise (4.0%→5.5%) costs about $11.21 in price, while an equivalent 1.5-point yield fall (4.0%→2.5%, not shown) would gain more than $11.21 — this convexity is itself a standard, testable bond-pricing property, but the beginner-level takeaway is simpler: never compute a “return” on a bond position using the yield the way you would compute a return using an equity price.</w:t>
      </w:r>
    </w:p>
    <w:p w14:paraId="2F794265" w14:textId="77777777" w:rsidR="00EE18AE" w:rsidRDefault="00000000">
      <w:pPr>
        <w:pStyle w:val="Heading2"/>
        <w:spacing w:before="260"/>
      </w:pPr>
      <w:bookmarkStart w:id="20" w:name="_Toc239542915"/>
      <w:r>
        <w:t>2.5 Deep Dive: Funding and Carry in Perpetual Futures and FX</w:t>
      </w:r>
      <w:bookmarkEnd w:id="20"/>
    </w:p>
    <w:p w14:paraId="59F4FBB3" w14:textId="77777777" w:rsidR="00EE18AE" w:rsidRDefault="00000000">
      <w:pPr>
        <w:spacing w:after="120"/>
      </w:pPr>
      <w:r>
        <w:t>A perpetual future has no expiry, so exchanges use a periodic funding payment between long and short holders to keep its price anchored near the underlying spot price. When the perpetual trades above spot (typically because the market is bullish and long-heavy), longs pay shorts; when it trades below spot, shorts pay longs.</w:t>
      </w:r>
    </w:p>
    <w:p w14:paraId="2668E828" w14:textId="77777777" w:rsidR="00EE18AE" w:rsidRDefault="00000000">
      <w:pPr>
        <w:pStyle w:val="ListParagraph"/>
        <w:numPr>
          <w:ilvl w:val="0"/>
          <w:numId w:val="2"/>
        </w:numPr>
        <w:spacing w:after="40"/>
      </w:pPr>
      <w:r>
        <w:rPr>
          <w:b/>
          <w:bCs/>
          <w:sz w:val="20"/>
          <w:szCs w:val="20"/>
        </w:rPr>
        <w:t xml:space="preserve">Funding formula (simplified): </w:t>
      </w:r>
      <w:r>
        <w:rPr>
          <w:sz w:val="20"/>
          <w:szCs w:val="20"/>
        </w:rPr>
        <w:t>Funding Payment = Position Notional × Funding Rate, paid by the side specified by the sign of the funding rate, typically every 8 hours on major venues.</w:t>
      </w:r>
    </w:p>
    <w:p w14:paraId="219F101D" w14:textId="77777777" w:rsidR="00EE18AE" w:rsidRDefault="00000000">
      <w:pPr>
        <w:pBdr>
          <w:left w:val="single" w:sz="24" w:space="8" w:color="C0392B"/>
        </w:pBdr>
        <w:shd w:val="clear" w:color="auto" w:fill="FCECEC"/>
        <w:spacing w:before="120" w:after="40"/>
      </w:pPr>
      <w:r>
        <w:rPr>
          <w:b/>
          <w:bCs/>
          <w:color w:val="C0392B"/>
          <w:sz w:val="20"/>
          <w:szCs w:val="20"/>
        </w:rPr>
        <w:t>⚠  Worked example: perpetual funding cost</w:t>
      </w:r>
    </w:p>
    <w:p w14:paraId="6E39EA3F" w14:textId="77777777" w:rsidR="00EE18AE" w:rsidRDefault="00000000">
      <w:pPr>
        <w:pStyle w:val="ListParagraph"/>
        <w:numPr>
          <w:ilvl w:val="0"/>
          <w:numId w:val="2"/>
        </w:numPr>
        <w:pBdr>
          <w:left w:val="single" w:sz="24" w:space="8" w:color="C0392B"/>
        </w:pBdr>
        <w:shd w:val="clear" w:color="auto" w:fill="FCECEC"/>
        <w:spacing w:after="40"/>
      </w:pPr>
      <w:r>
        <w:rPr>
          <w:sz w:val="20"/>
          <w:szCs w:val="20"/>
        </w:rPr>
        <w:t>A trader holds a $50,000 long position in a BTC perpetual future. The funding rate for the current 8-hour period is +0.01% (positive = longs pay shorts).</w:t>
      </w:r>
    </w:p>
    <w:p w14:paraId="3EDC5831" w14:textId="77777777" w:rsidR="00EE18AE" w:rsidRDefault="00000000">
      <w:pPr>
        <w:pStyle w:val="ListParagraph"/>
        <w:numPr>
          <w:ilvl w:val="0"/>
          <w:numId w:val="2"/>
        </w:numPr>
        <w:pBdr>
          <w:left w:val="single" w:sz="24" w:space="8" w:color="C0392B"/>
        </w:pBdr>
        <w:shd w:val="clear" w:color="auto" w:fill="FCECEC"/>
        <w:spacing w:after="40"/>
      </w:pPr>
      <w:r>
        <w:rPr>
          <w:sz w:val="20"/>
          <w:szCs w:val="20"/>
        </w:rPr>
        <w:lastRenderedPageBreak/>
        <w:t>Funding payment = $50,000 × 0.01% = $5.00, paid by the long to the short for that single funding interval.</w:t>
      </w:r>
    </w:p>
    <w:p w14:paraId="26301975" w14:textId="77777777" w:rsidR="00EE18AE" w:rsidRDefault="00000000">
      <w:pPr>
        <w:pStyle w:val="ListParagraph"/>
        <w:numPr>
          <w:ilvl w:val="0"/>
          <w:numId w:val="2"/>
        </w:numPr>
        <w:pBdr>
          <w:left w:val="single" w:sz="24" w:space="8" w:color="C0392B"/>
        </w:pBdr>
        <w:shd w:val="clear" w:color="auto" w:fill="FCECEC"/>
        <w:spacing w:after="40"/>
      </w:pPr>
      <w:r>
        <w:rPr>
          <w:sz w:val="20"/>
          <w:szCs w:val="20"/>
        </w:rPr>
        <w:t>Annualised naively (3 payments/day × 365), a persistent +0.01% funding rate costs a long position roughly 0.01% × 3 × 365 ≈ 10.95% of notional per year — a material, easily overlooked drag that has nothing to do with the underlying price moving at all.</w:t>
      </w:r>
    </w:p>
    <w:p w14:paraId="1E4D6630" w14:textId="77777777" w:rsidR="00EE18AE" w:rsidRDefault="00EE18AE">
      <w:pPr>
        <w:spacing w:after="80"/>
      </w:pPr>
    </w:p>
    <w:p w14:paraId="1A55FA42" w14:textId="77777777" w:rsidR="00EE18AE" w:rsidRDefault="00000000">
      <w:pPr>
        <w:spacing w:after="120"/>
      </w:pPr>
      <w:r>
        <w:t>The FX equivalent is the interest-rate differential embedded in a forward or swap price (covered interest rate parity): a currency with a higher interest rate will typically trade at a forward discount to a currency with a lower interest rate, so that no risk-free arbitrage exists purely from the rate differential.</w:t>
      </w:r>
    </w:p>
    <w:p w14:paraId="6F6E8001" w14:textId="77777777" w:rsidR="00EE18AE" w:rsidRDefault="00000000">
      <w:pPr>
        <w:pStyle w:val="Heading2"/>
        <w:spacing w:before="260"/>
      </w:pPr>
      <w:bookmarkStart w:id="21" w:name="_Toc239542916"/>
      <w:r>
        <w:t>2.6 Common Mistakes — Deeper Look</w:t>
      </w:r>
      <w:bookmarkEnd w:id="21"/>
    </w:p>
    <w:p w14:paraId="7D3191E2" w14:textId="77777777" w:rsidR="00EE18AE" w:rsidRDefault="00000000">
      <w:pPr>
        <w:spacing w:before="160" w:after="60"/>
      </w:pPr>
      <w:r>
        <w:rPr>
          <w:b/>
          <w:bCs/>
          <w:i/>
          <w:iCs/>
          <w:color w:val="2E5395"/>
          <w:sz w:val="22"/>
          <w:szCs w:val="22"/>
        </w:rPr>
        <w:t>Treating bond yields like equity prices when computing returns</w:t>
      </w:r>
    </w:p>
    <w:p w14:paraId="71B67E1D" w14:textId="77777777" w:rsidR="00EE18AE" w:rsidRDefault="00000000">
      <w:pPr>
        <w:spacing w:after="120"/>
      </w:pPr>
      <w:r>
        <w:t>Beyond the price/yield inversion shown in §2.4, a bond's total return over a holding period must account for coupon income, reinvestment of that income, and any price change — not the yield alone. A learner who reports “the bond returned 4%” because its yield was 4% has confused a forward-looking pricing input with a backward-looking realised return; these coincide only if the bond is held to maturity with no reinvestment-rate change, which is rarely the situation being analysed.</w:t>
      </w:r>
    </w:p>
    <w:p w14:paraId="011117D9" w14:textId="77777777" w:rsidR="00EE18AE" w:rsidRDefault="00000000">
      <w:pPr>
        <w:spacing w:before="160" w:after="60"/>
      </w:pPr>
      <w:r>
        <w:rPr>
          <w:b/>
          <w:bCs/>
          <w:i/>
          <w:iCs/>
          <w:color w:val="2E5395"/>
          <w:sz w:val="22"/>
          <w:szCs w:val="22"/>
        </w:rPr>
        <w:t>Ignoring funding/carry in perpetual futures and FX</w:t>
      </w:r>
    </w:p>
    <w:p w14:paraId="07CC964F" w14:textId="77777777" w:rsidR="00EE18AE" w:rsidRDefault="00000000">
      <w:pPr>
        <w:spacing w:after="120"/>
      </w:pPr>
      <w:r>
        <w:t xml:space="preserve">A systematic strategy </w:t>
      </w:r>
      <w:proofErr w:type="spellStart"/>
      <w:r>
        <w:t>backtested</w:t>
      </w:r>
      <w:proofErr w:type="spellEnd"/>
      <w:r>
        <w:t xml:space="preserve"> on perpetual futures without deducting funding payments will report an inflated Sharpe ratio — exactly the kind of transaction-cost omission flagged as a critical </w:t>
      </w:r>
      <w:proofErr w:type="spellStart"/>
      <w:r>
        <w:t>backtesting</w:t>
      </w:r>
      <w:proofErr w:type="spellEnd"/>
      <w:r>
        <w:t xml:space="preserve"> failure mode in Part III of the main curriculum. Funding is not a rounding error: the worked example above shows it can compound to a double-digit annualised percentage drag.</w:t>
      </w:r>
    </w:p>
    <w:p w14:paraId="4EAF0A33" w14:textId="77777777" w:rsidR="00EE18AE" w:rsidRDefault="00000000">
      <w:pPr>
        <w:pStyle w:val="Heading2"/>
        <w:spacing w:before="260"/>
      </w:pPr>
      <w:bookmarkStart w:id="22" w:name="_Toc239542917"/>
      <w:r>
        <w:t>2.7 Professional Applications</w:t>
      </w:r>
      <w:bookmarkEnd w:id="22"/>
    </w:p>
    <w:p w14:paraId="2C272008" w14:textId="77777777" w:rsidR="00EE18AE" w:rsidRDefault="00000000">
      <w:pPr>
        <w:pStyle w:val="ListParagraph"/>
        <w:numPr>
          <w:ilvl w:val="0"/>
          <w:numId w:val="2"/>
        </w:numPr>
        <w:spacing w:after="40"/>
      </w:pPr>
      <w:r>
        <w:rPr>
          <w:b/>
          <w:bCs/>
          <w:sz w:val="20"/>
          <w:szCs w:val="20"/>
        </w:rPr>
        <w:t xml:space="preserve">Cross-asset portfolio construction: </w:t>
      </w:r>
      <w:r>
        <w:rPr>
          <w:sz w:val="20"/>
          <w:szCs w:val="20"/>
        </w:rPr>
        <w:t>A multi-asset portfolio manager must translate very different quoting and risk conventions (bond yields, equity prices, FX rates, futures points) into a single, comparable risk currency — typically volatility-scaled dollar risk — before combining positions.</w:t>
      </w:r>
    </w:p>
    <w:p w14:paraId="74049870" w14:textId="77777777" w:rsidR="00EE18AE" w:rsidRDefault="00000000">
      <w:pPr>
        <w:pStyle w:val="ListParagraph"/>
        <w:numPr>
          <w:ilvl w:val="0"/>
          <w:numId w:val="2"/>
        </w:numPr>
        <w:spacing w:after="40"/>
      </w:pPr>
      <w:r>
        <w:rPr>
          <w:b/>
          <w:bCs/>
          <w:sz w:val="20"/>
          <w:szCs w:val="20"/>
        </w:rPr>
        <w:t xml:space="preserve">Multi-asset risk aggregation: </w:t>
      </w:r>
      <w:r>
        <w:rPr>
          <w:sz w:val="20"/>
          <w:szCs w:val="20"/>
        </w:rPr>
        <w:t xml:space="preserve">Enterprise risk systems must correctly map each asset class's specific risk factors (duration and credit spread for bonds, beta and idiosyncratic risk for equities, interest-rate differentials for FX) into a common factor-risk framework to produce a single, coherent portfolio </w:t>
      </w:r>
      <w:proofErr w:type="spellStart"/>
      <w:r>
        <w:rPr>
          <w:sz w:val="20"/>
          <w:szCs w:val="20"/>
        </w:rPr>
        <w:t>VaR</w:t>
      </w:r>
      <w:proofErr w:type="spellEnd"/>
      <w:r>
        <w:rPr>
          <w:sz w:val="20"/>
          <w:szCs w:val="20"/>
        </w:rPr>
        <w:t xml:space="preserve"> or stress-test number.</w:t>
      </w:r>
    </w:p>
    <w:p w14:paraId="6F58F01A" w14:textId="77777777" w:rsidR="00EE18AE" w:rsidRDefault="00000000">
      <w:pPr>
        <w:pStyle w:val="Heading1"/>
        <w:pageBreakBefore/>
        <w:spacing w:after="200"/>
      </w:pPr>
      <w:bookmarkStart w:id="23" w:name="_Toc239542918"/>
      <w:r>
        <w:lastRenderedPageBreak/>
        <w:t>3. Trading Mechanics  (Level 1)</w:t>
      </w:r>
      <w:bookmarkEnd w:id="23"/>
    </w:p>
    <w:p w14:paraId="4200198B" w14:textId="77777777" w:rsidR="00EE18AE" w:rsidRDefault="00000000">
      <w:pPr>
        <w:spacing w:after="160"/>
      </w:pPr>
      <w:r>
        <w:rPr>
          <w:b/>
          <w:bCs/>
          <w:sz w:val="20"/>
          <w:szCs w:val="20"/>
        </w:rPr>
        <w:t xml:space="preserve">Covers: </w:t>
      </w:r>
      <w:r>
        <w:rPr>
          <w:i/>
          <w:iCs/>
          <w:sz w:val="20"/>
          <w:szCs w:val="20"/>
        </w:rPr>
        <w:t>Long/short · bid/ask/spread/mid · tick size · lot size · notional · leverage · margin · mark-to-market · P&amp;L · funding · carry · basis · liquidity · slippage</w:t>
      </w:r>
    </w:p>
    <w:p w14:paraId="18E0CC54" w14:textId="77777777" w:rsidR="00EE18AE" w:rsidRDefault="00000000">
      <w:pPr>
        <w:pStyle w:val="Heading2"/>
        <w:spacing w:before="260"/>
      </w:pPr>
      <w:bookmarkStart w:id="24" w:name="_Toc239542919"/>
      <w:r>
        <w:t>3.1 Learning Position at a Glance</w:t>
      </w:r>
      <w:bookmarkEnd w:id="24"/>
    </w:p>
    <w:p w14:paraId="030B7C66" w14:textId="77777777" w:rsidR="00EE18AE" w:rsidRDefault="00000000">
      <w:pPr>
        <w:pStyle w:val="ListParagraph"/>
        <w:numPr>
          <w:ilvl w:val="0"/>
          <w:numId w:val="2"/>
        </w:numPr>
        <w:spacing w:after="40"/>
      </w:pPr>
      <w:r>
        <w:rPr>
          <w:b/>
          <w:bCs/>
          <w:sz w:val="20"/>
          <w:szCs w:val="20"/>
        </w:rPr>
        <w:t xml:space="preserve">What it is: </w:t>
      </w:r>
      <w:r>
        <w:rPr>
          <w:sz w:val="20"/>
          <w:szCs w:val="20"/>
        </w:rPr>
        <w:t>The vocabulary and arithmetic used to describe any position and its running profit or loss.</w:t>
      </w:r>
    </w:p>
    <w:p w14:paraId="6AB00C46" w14:textId="77777777" w:rsidR="00EE18AE" w:rsidRDefault="00000000">
      <w:pPr>
        <w:pStyle w:val="ListParagraph"/>
        <w:numPr>
          <w:ilvl w:val="0"/>
          <w:numId w:val="2"/>
        </w:numPr>
        <w:spacing w:after="40"/>
      </w:pPr>
      <w:r>
        <w:rPr>
          <w:b/>
          <w:bCs/>
          <w:sz w:val="20"/>
          <w:szCs w:val="20"/>
        </w:rPr>
        <w:t xml:space="preserve">Why it matters: </w:t>
      </w:r>
      <w:r>
        <w:rPr>
          <w:sz w:val="20"/>
          <w:szCs w:val="20"/>
        </w:rPr>
        <w:t xml:space="preserve">Every risk metric, </w:t>
      </w:r>
      <w:proofErr w:type="spellStart"/>
      <w:r>
        <w:rPr>
          <w:sz w:val="20"/>
          <w:szCs w:val="20"/>
        </w:rPr>
        <w:t>backtest</w:t>
      </w:r>
      <w:proofErr w:type="spellEnd"/>
      <w:r>
        <w:rPr>
          <w:sz w:val="20"/>
          <w:szCs w:val="20"/>
        </w:rPr>
        <w:t xml:space="preserve"> and trading conversation is expressed in this vocabulary; ambiguity here compounds into every later error.</w:t>
      </w:r>
    </w:p>
    <w:p w14:paraId="7ED3D49C" w14:textId="77777777" w:rsidR="00EE18AE" w:rsidRDefault="00000000">
      <w:pPr>
        <w:pStyle w:val="ListParagraph"/>
        <w:numPr>
          <w:ilvl w:val="0"/>
          <w:numId w:val="2"/>
        </w:numPr>
        <w:spacing w:after="40"/>
      </w:pPr>
      <w:r>
        <w:rPr>
          <w:b/>
          <w:bCs/>
          <w:sz w:val="20"/>
          <w:szCs w:val="20"/>
        </w:rPr>
        <w:t xml:space="preserve">Prerequisites: </w:t>
      </w:r>
      <w:r>
        <w:rPr>
          <w:sz w:val="20"/>
          <w:szCs w:val="20"/>
        </w:rPr>
        <w:t>Asset Classes (§2); Arithmetic (Part II, Level 1).</w:t>
      </w:r>
    </w:p>
    <w:p w14:paraId="1F906D32" w14:textId="77777777" w:rsidR="00EE18AE" w:rsidRDefault="00000000">
      <w:pPr>
        <w:pStyle w:val="ListParagraph"/>
        <w:numPr>
          <w:ilvl w:val="0"/>
          <w:numId w:val="2"/>
        </w:numPr>
        <w:spacing w:after="40"/>
      </w:pPr>
      <w:r>
        <w:rPr>
          <w:b/>
          <w:bCs/>
          <w:sz w:val="20"/>
          <w:szCs w:val="20"/>
        </w:rPr>
        <w:t xml:space="preserve">Connects to Research: </w:t>
      </w:r>
      <w:r>
        <w:rPr>
          <w:sz w:val="20"/>
          <w:szCs w:val="20"/>
        </w:rPr>
        <w:t xml:space="preserve">P&amp;L and slippage definitions must match exactly what the </w:t>
      </w:r>
      <w:proofErr w:type="spellStart"/>
      <w:r>
        <w:rPr>
          <w:sz w:val="20"/>
          <w:szCs w:val="20"/>
        </w:rPr>
        <w:t>backtest</w:t>
      </w:r>
      <w:proofErr w:type="spellEnd"/>
      <w:r>
        <w:rPr>
          <w:sz w:val="20"/>
          <w:szCs w:val="20"/>
        </w:rPr>
        <w:t xml:space="preserve"> measures, or research results won't be reproducible in production.</w:t>
      </w:r>
    </w:p>
    <w:p w14:paraId="02B9C8B2" w14:textId="77777777" w:rsidR="00EE18AE" w:rsidRDefault="00000000">
      <w:pPr>
        <w:pStyle w:val="ListParagraph"/>
        <w:numPr>
          <w:ilvl w:val="0"/>
          <w:numId w:val="2"/>
        </w:numPr>
        <w:spacing w:after="40"/>
      </w:pPr>
      <w:r>
        <w:rPr>
          <w:b/>
          <w:bCs/>
          <w:sz w:val="20"/>
          <w:szCs w:val="20"/>
        </w:rPr>
        <w:t xml:space="preserve">Connects to Development: </w:t>
      </w:r>
      <w:r>
        <w:rPr>
          <w:sz w:val="20"/>
          <w:szCs w:val="20"/>
        </w:rPr>
        <w:t xml:space="preserve">Position-keeping and mark-to-market logic is core plumbing in any trading or </w:t>
      </w:r>
      <w:proofErr w:type="spellStart"/>
      <w:r>
        <w:rPr>
          <w:sz w:val="20"/>
          <w:szCs w:val="20"/>
        </w:rPr>
        <w:t>backtesting</w:t>
      </w:r>
      <w:proofErr w:type="spellEnd"/>
      <w:r>
        <w:rPr>
          <w:sz w:val="20"/>
          <w:szCs w:val="20"/>
        </w:rPr>
        <w:t xml:space="preserve"> system.</w:t>
      </w:r>
    </w:p>
    <w:p w14:paraId="2C550A9D" w14:textId="77777777" w:rsidR="00EE18AE" w:rsidRDefault="00000000">
      <w:pPr>
        <w:pStyle w:val="ListParagraph"/>
        <w:numPr>
          <w:ilvl w:val="0"/>
          <w:numId w:val="2"/>
        </w:numPr>
        <w:spacing w:after="40"/>
      </w:pPr>
      <w:r>
        <w:rPr>
          <w:b/>
          <w:bCs/>
          <w:sz w:val="20"/>
          <w:szCs w:val="20"/>
        </w:rPr>
        <w:t xml:space="preserve">Connects to Trading: </w:t>
      </w:r>
      <w:r>
        <w:rPr>
          <w:sz w:val="20"/>
          <w:szCs w:val="20"/>
        </w:rPr>
        <w:t>Margin and leverage mechanics directly determine how much risk a given position actually carries.</w:t>
      </w:r>
    </w:p>
    <w:p w14:paraId="5584FA7C" w14:textId="77777777" w:rsidR="00EE18AE" w:rsidRDefault="00000000">
      <w:pPr>
        <w:pStyle w:val="ListParagraph"/>
        <w:numPr>
          <w:ilvl w:val="0"/>
          <w:numId w:val="2"/>
        </w:numPr>
        <w:spacing w:after="40"/>
      </w:pPr>
      <w:r>
        <w:rPr>
          <w:b/>
          <w:bCs/>
          <w:sz w:val="20"/>
          <w:szCs w:val="20"/>
        </w:rPr>
        <w:t xml:space="preserve">Practical exercise: </w:t>
      </w:r>
      <w:r>
        <w:rPr>
          <w:sz w:val="20"/>
          <w:szCs w:val="20"/>
        </w:rPr>
        <w:t>Given a sequence of fills, manually compute realised and unrealised P&amp;L, notional exposure and margin usage for a leveraged futures position. (A full worked example follows in §3.3.)</w:t>
      </w:r>
    </w:p>
    <w:p w14:paraId="698A4288" w14:textId="77777777" w:rsidR="00EE18AE" w:rsidRDefault="00000000">
      <w:pPr>
        <w:pStyle w:val="ListParagraph"/>
        <w:numPr>
          <w:ilvl w:val="0"/>
          <w:numId w:val="2"/>
        </w:numPr>
        <w:spacing w:after="40"/>
      </w:pPr>
      <w:r>
        <w:rPr>
          <w:b/>
          <w:bCs/>
          <w:sz w:val="20"/>
          <w:szCs w:val="20"/>
        </w:rPr>
        <w:t xml:space="preserve">Common beginner mistakes: </w:t>
      </w:r>
    </w:p>
    <w:p w14:paraId="7827534A" w14:textId="77777777" w:rsidR="00EE18AE" w:rsidRDefault="00000000">
      <w:pPr>
        <w:pStyle w:val="ListParagraph"/>
        <w:numPr>
          <w:ilvl w:val="1"/>
          <w:numId w:val="2"/>
        </w:numPr>
        <w:spacing w:after="40"/>
      </w:pPr>
      <w:r>
        <w:rPr>
          <w:sz w:val="20"/>
          <w:szCs w:val="20"/>
        </w:rPr>
        <w:t>Confusing notional exposure with capital at risk.</w:t>
      </w:r>
    </w:p>
    <w:p w14:paraId="17B32FB4" w14:textId="77777777" w:rsidR="00EE18AE" w:rsidRDefault="00000000">
      <w:pPr>
        <w:pStyle w:val="ListParagraph"/>
        <w:numPr>
          <w:ilvl w:val="1"/>
          <w:numId w:val="2"/>
        </w:numPr>
        <w:spacing w:after="40"/>
      </w:pPr>
      <w:r>
        <w:rPr>
          <w:sz w:val="20"/>
          <w:szCs w:val="20"/>
        </w:rPr>
        <w:t>Ignoring the bid/ask spread when computing theoretical P&amp;L.</w:t>
      </w:r>
    </w:p>
    <w:p w14:paraId="5039BC92" w14:textId="77777777" w:rsidR="00EE18AE" w:rsidRDefault="00000000">
      <w:pPr>
        <w:pStyle w:val="ListParagraph"/>
        <w:numPr>
          <w:ilvl w:val="0"/>
          <w:numId w:val="2"/>
        </w:numPr>
        <w:spacing w:after="40"/>
      </w:pPr>
      <w:r>
        <w:rPr>
          <w:b/>
          <w:bCs/>
          <w:sz w:val="20"/>
          <w:szCs w:val="20"/>
        </w:rPr>
        <w:t xml:space="preserve">Advanced extensions: </w:t>
      </w:r>
      <w:r>
        <w:rPr>
          <w:sz w:val="20"/>
          <w:szCs w:val="20"/>
        </w:rPr>
        <w:t>Funding-rate arbitrage in perpetual futures; basis trading between spot and futures.</w:t>
      </w:r>
    </w:p>
    <w:p w14:paraId="5203FF03" w14:textId="77777777" w:rsidR="00EE18AE" w:rsidRDefault="00000000">
      <w:pPr>
        <w:pStyle w:val="ListParagraph"/>
        <w:numPr>
          <w:ilvl w:val="0"/>
          <w:numId w:val="2"/>
        </w:numPr>
        <w:spacing w:after="40"/>
      </w:pPr>
      <w:r>
        <w:rPr>
          <w:b/>
          <w:bCs/>
          <w:sz w:val="20"/>
          <w:szCs w:val="20"/>
        </w:rPr>
        <w:t xml:space="preserve">Professional applications: </w:t>
      </w:r>
      <w:r>
        <w:rPr>
          <w:sz w:val="20"/>
          <w:szCs w:val="20"/>
        </w:rPr>
        <w:t>Position sizing; margin management; real-time risk dashboards.</w:t>
      </w:r>
    </w:p>
    <w:p w14:paraId="7E5AE4FC" w14:textId="77777777" w:rsidR="00EE18AE" w:rsidRDefault="00000000">
      <w:pPr>
        <w:pStyle w:val="Heading2"/>
        <w:spacing w:before="260"/>
      </w:pPr>
      <w:bookmarkStart w:id="25" w:name="_Toc239542920"/>
      <w:r>
        <w:t>3.2 Core Vocabulary — Definitions, Formulas and Micro-Examples</w:t>
      </w:r>
      <w:bookmarkEnd w:id="25"/>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3400"/>
        <w:gridCol w:w="2350"/>
        <w:gridCol w:w="1960"/>
      </w:tblGrid>
      <w:tr w:rsidR="00EE18AE" w14:paraId="593BDC76" w14:textId="77777777">
        <w:tblPrEx>
          <w:tblCellMar>
            <w:top w:w="0" w:type="dxa"/>
            <w:bottom w:w="0" w:type="dxa"/>
          </w:tblCellMar>
        </w:tblPrEx>
        <w:trPr>
          <w:tblHeader/>
        </w:trPr>
        <w:tc>
          <w:tcPr>
            <w:tcW w:w="1550" w:type="dxa"/>
            <w:shd w:val="clear" w:color="auto" w:fill="1F3864"/>
            <w:tcMar>
              <w:top w:w="60" w:type="dxa"/>
              <w:left w:w="100" w:type="dxa"/>
              <w:bottom w:w="60" w:type="dxa"/>
              <w:right w:w="100" w:type="dxa"/>
            </w:tcMar>
            <w:vAlign w:val="center"/>
          </w:tcPr>
          <w:p w14:paraId="000FA205" w14:textId="77777777" w:rsidR="00EE18AE" w:rsidRDefault="00000000">
            <w:r>
              <w:rPr>
                <w:b/>
                <w:bCs/>
                <w:color w:val="FFFFFF"/>
                <w:sz w:val="19"/>
                <w:szCs w:val="19"/>
              </w:rPr>
              <w:t>Term</w:t>
            </w:r>
          </w:p>
        </w:tc>
        <w:tc>
          <w:tcPr>
            <w:tcW w:w="3400" w:type="dxa"/>
            <w:shd w:val="clear" w:color="auto" w:fill="1F3864"/>
            <w:tcMar>
              <w:top w:w="60" w:type="dxa"/>
              <w:left w:w="100" w:type="dxa"/>
              <w:bottom w:w="60" w:type="dxa"/>
              <w:right w:w="100" w:type="dxa"/>
            </w:tcMar>
            <w:vAlign w:val="center"/>
          </w:tcPr>
          <w:p w14:paraId="72C740B4" w14:textId="77777777" w:rsidR="00EE18AE" w:rsidRDefault="00000000">
            <w:r>
              <w:rPr>
                <w:b/>
                <w:bCs/>
                <w:color w:val="FFFFFF"/>
                <w:sz w:val="19"/>
                <w:szCs w:val="19"/>
              </w:rPr>
              <w:t>Definition</w:t>
            </w:r>
          </w:p>
        </w:tc>
        <w:tc>
          <w:tcPr>
            <w:tcW w:w="2350" w:type="dxa"/>
            <w:shd w:val="clear" w:color="auto" w:fill="1F3864"/>
            <w:tcMar>
              <w:top w:w="60" w:type="dxa"/>
              <w:left w:w="100" w:type="dxa"/>
              <w:bottom w:w="60" w:type="dxa"/>
              <w:right w:w="100" w:type="dxa"/>
            </w:tcMar>
            <w:vAlign w:val="center"/>
          </w:tcPr>
          <w:p w14:paraId="610A1DA5" w14:textId="77777777" w:rsidR="00EE18AE" w:rsidRDefault="00000000">
            <w:r>
              <w:rPr>
                <w:b/>
                <w:bCs/>
                <w:color w:val="FFFFFF"/>
                <w:sz w:val="19"/>
                <w:szCs w:val="19"/>
              </w:rPr>
              <w:t>Formula</w:t>
            </w:r>
          </w:p>
        </w:tc>
        <w:tc>
          <w:tcPr>
            <w:tcW w:w="1960" w:type="dxa"/>
            <w:shd w:val="clear" w:color="auto" w:fill="1F3864"/>
            <w:tcMar>
              <w:top w:w="60" w:type="dxa"/>
              <w:left w:w="100" w:type="dxa"/>
              <w:bottom w:w="60" w:type="dxa"/>
              <w:right w:w="100" w:type="dxa"/>
            </w:tcMar>
            <w:vAlign w:val="center"/>
          </w:tcPr>
          <w:p w14:paraId="5C202BC4" w14:textId="77777777" w:rsidR="00EE18AE" w:rsidRDefault="00000000">
            <w:r>
              <w:rPr>
                <w:b/>
                <w:bCs/>
                <w:color w:val="FFFFFF"/>
                <w:sz w:val="19"/>
                <w:szCs w:val="19"/>
              </w:rPr>
              <w:t>Micro-Example</w:t>
            </w:r>
          </w:p>
        </w:tc>
      </w:tr>
      <w:tr w:rsidR="00EE18AE" w14:paraId="3E7676AB" w14:textId="77777777">
        <w:tblPrEx>
          <w:tblCellMar>
            <w:top w:w="0" w:type="dxa"/>
            <w:bottom w:w="0" w:type="dxa"/>
          </w:tblCellMar>
        </w:tblPrEx>
        <w:tc>
          <w:tcPr>
            <w:tcW w:w="1550" w:type="dxa"/>
            <w:tcMar>
              <w:top w:w="60" w:type="dxa"/>
              <w:left w:w="100" w:type="dxa"/>
              <w:bottom w:w="60" w:type="dxa"/>
              <w:right w:w="100" w:type="dxa"/>
            </w:tcMar>
            <w:vAlign w:val="center"/>
          </w:tcPr>
          <w:p w14:paraId="68858809" w14:textId="77777777" w:rsidR="00EE18AE" w:rsidRDefault="00000000">
            <w:r>
              <w:rPr>
                <w:sz w:val="19"/>
                <w:szCs w:val="19"/>
              </w:rPr>
              <w:t>Long / Short</w:t>
            </w:r>
          </w:p>
        </w:tc>
        <w:tc>
          <w:tcPr>
            <w:tcW w:w="3400" w:type="dxa"/>
            <w:tcMar>
              <w:top w:w="60" w:type="dxa"/>
              <w:left w:w="100" w:type="dxa"/>
              <w:bottom w:w="60" w:type="dxa"/>
              <w:right w:w="100" w:type="dxa"/>
            </w:tcMar>
            <w:vAlign w:val="center"/>
          </w:tcPr>
          <w:p w14:paraId="65C0B40F" w14:textId="77777777" w:rsidR="00EE18AE" w:rsidRDefault="00000000">
            <w:r>
              <w:rPr>
                <w:sz w:val="19"/>
                <w:szCs w:val="19"/>
              </w:rPr>
              <w:t>Long = you profit if the price rises; short = you profit if the price falls (typically by borrowing and selling the asset first).</w:t>
            </w:r>
          </w:p>
        </w:tc>
        <w:tc>
          <w:tcPr>
            <w:tcW w:w="2350" w:type="dxa"/>
            <w:tcMar>
              <w:top w:w="60" w:type="dxa"/>
              <w:left w:w="100" w:type="dxa"/>
              <w:bottom w:w="60" w:type="dxa"/>
              <w:right w:w="100" w:type="dxa"/>
            </w:tcMar>
            <w:vAlign w:val="center"/>
          </w:tcPr>
          <w:p w14:paraId="2CC887C8" w14:textId="77777777" w:rsidR="00EE18AE" w:rsidRDefault="00000000">
            <w:r>
              <w:rPr>
                <w:sz w:val="19"/>
                <w:szCs w:val="19"/>
              </w:rPr>
              <w:t>Long P&amp;L = (Exit − Entry) × Size. Short P&amp;L = (Entry − Exit) × Size.</w:t>
            </w:r>
          </w:p>
        </w:tc>
        <w:tc>
          <w:tcPr>
            <w:tcW w:w="1960" w:type="dxa"/>
            <w:tcMar>
              <w:top w:w="60" w:type="dxa"/>
              <w:left w:w="100" w:type="dxa"/>
              <w:bottom w:w="60" w:type="dxa"/>
              <w:right w:w="100" w:type="dxa"/>
            </w:tcMar>
            <w:vAlign w:val="center"/>
          </w:tcPr>
          <w:p w14:paraId="240DBF73" w14:textId="77777777" w:rsidR="00EE18AE" w:rsidRDefault="00000000">
            <w:r>
              <w:rPr>
                <w:sz w:val="19"/>
                <w:szCs w:val="19"/>
              </w:rPr>
              <w:t>Short 100 shares at $50, cover at $46: P&amp;L = (50−46)×100 = +$400.</w:t>
            </w:r>
          </w:p>
        </w:tc>
      </w:tr>
      <w:tr w:rsidR="00EE18AE" w14:paraId="709EDBB5" w14:textId="77777777">
        <w:tblPrEx>
          <w:tblCellMar>
            <w:top w:w="0" w:type="dxa"/>
            <w:bottom w:w="0" w:type="dxa"/>
          </w:tblCellMar>
        </w:tblPrEx>
        <w:tc>
          <w:tcPr>
            <w:tcW w:w="1550" w:type="dxa"/>
            <w:shd w:val="clear" w:color="auto" w:fill="F2F2F2"/>
            <w:tcMar>
              <w:top w:w="60" w:type="dxa"/>
              <w:left w:w="100" w:type="dxa"/>
              <w:bottom w:w="60" w:type="dxa"/>
              <w:right w:w="100" w:type="dxa"/>
            </w:tcMar>
            <w:vAlign w:val="center"/>
          </w:tcPr>
          <w:p w14:paraId="61B35A6E" w14:textId="77777777" w:rsidR="00EE18AE" w:rsidRDefault="00000000">
            <w:r>
              <w:rPr>
                <w:sz w:val="19"/>
                <w:szCs w:val="19"/>
              </w:rPr>
              <w:t>Bid / Ask / Spread / Mid</w:t>
            </w:r>
          </w:p>
        </w:tc>
        <w:tc>
          <w:tcPr>
            <w:tcW w:w="3400" w:type="dxa"/>
            <w:shd w:val="clear" w:color="auto" w:fill="F2F2F2"/>
            <w:tcMar>
              <w:top w:w="60" w:type="dxa"/>
              <w:left w:w="100" w:type="dxa"/>
              <w:bottom w:w="60" w:type="dxa"/>
              <w:right w:w="100" w:type="dxa"/>
            </w:tcMar>
            <w:vAlign w:val="center"/>
          </w:tcPr>
          <w:p w14:paraId="38A125C6" w14:textId="77777777" w:rsidR="00EE18AE" w:rsidRDefault="00000000">
            <w:r>
              <w:rPr>
                <w:sz w:val="19"/>
                <w:szCs w:val="19"/>
              </w:rPr>
              <w:t>Bid = highest price a buyer will pay; Ask = lowest price a seller will accept; Spread = Ask−Bid; Mid = average of the two.</w:t>
            </w:r>
          </w:p>
        </w:tc>
        <w:tc>
          <w:tcPr>
            <w:tcW w:w="2350" w:type="dxa"/>
            <w:shd w:val="clear" w:color="auto" w:fill="F2F2F2"/>
            <w:tcMar>
              <w:top w:w="60" w:type="dxa"/>
              <w:left w:w="100" w:type="dxa"/>
              <w:bottom w:w="60" w:type="dxa"/>
              <w:right w:w="100" w:type="dxa"/>
            </w:tcMar>
            <w:vAlign w:val="center"/>
          </w:tcPr>
          <w:p w14:paraId="1932E16B" w14:textId="77777777" w:rsidR="00EE18AE" w:rsidRDefault="00000000">
            <w:r>
              <w:rPr>
                <w:sz w:val="19"/>
                <w:szCs w:val="19"/>
              </w:rPr>
              <w:t>Spread = Ask − Bid.  Mid = (</w:t>
            </w:r>
            <w:proofErr w:type="spellStart"/>
            <w:r>
              <w:rPr>
                <w:sz w:val="19"/>
                <w:szCs w:val="19"/>
              </w:rPr>
              <w:t>Bid+Ask</w:t>
            </w:r>
            <w:proofErr w:type="spellEnd"/>
            <w:r>
              <w:rPr>
                <w:sz w:val="19"/>
                <w:szCs w:val="19"/>
              </w:rPr>
              <w:t>)/2.</w:t>
            </w:r>
          </w:p>
        </w:tc>
        <w:tc>
          <w:tcPr>
            <w:tcW w:w="1960" w:type="dxa"/>
            <w:shd w:val="clear" w:color="auto" w:fill="F2F2F2"/>
            <w:tcMar>
              <w:top w:w="60" w:type="dxa"/>
              <w:left w:w="100" w:type="dxa"/>
              <w:bottom w:w="60" w:type="dxa"/>
              <w:right w:w="100" w:type="dxa"/>
            </w:tcMar>
            <w:vAlign w:val="center"/>
          </w:tcPr>
          <w:p w14:paraId="4FFE7A18" w14:textId="77777777" w:rsidR="00EE18AE" w:rsidRDefault="00000000">
            <w:r>
              <w:rPr>
                <w:sz w:val="19"/>
                <w:szCs w:val="19"/>
              </w:rPr>
              <w:t>Bid $100.00 / Ask $100.04: Spread = $0.04, Mid = $100.02.</w:t>
            </w:r>
          </w:p>
        </w:tc>
      </w:tr>
      <w:tr w:rsidR="00EE18AE" w14:paraId="079E03B0" w14:textId="77777777">
        <w:tblPrEx>
          <w:tblCellMar>
            <w:top w:w="0" w:type="dxa"/>
            <w:bottom w:w="0" w:type="dxa"/>
          </w:tblCellMar>
        </w:tblPrEx>
        <w:tc>
          <w:tcPr>
            <w:tcW w:w="1550" w:type="dxa"/>
            <w:tcMar>
              <w:top w:w="60" w:type="dxa"/>
              <w:left w:w="100" w:type="dxa"/>
              <w:bottom w:w="60" w:type="dxa"/>
              <w:right w:w="100" w:type="dxa"/>
            </w:tcMar>
            <w:vAlign w:val="center"/>
          </w:tcPr>
          <w:p w14:paraId="195FABA9" w14:textId="77777777" w:rsidR="00EE18AE" w:rsidRDefault="00000000">
            <w:r>
              <w:rPr>
                <w:sz w:val="19"/>
                <w:szCs w:val="19"/>
              </w:rPr>
              <w:t>Tick Size</w:t>
            </w:r>
          </w:p>
        </w:tc>
        <w:tc>
          <w:tcPr>
            <w:tcW w:w="3400" w:type="dxa"/>
            <w:tcMar>
              <w:top w:w="60" w:type="dxa"/>
              <w:left w:w="100" w:type="dxa"/>
              <w:bottom w:w="60" w:type="dxa"/>
              <w:right w:w="100" w:type="dxa"/>
            </w:tcMar>
            <w:vAlign w:val="center"/>
          </w:tcPr>
          <w:p w14:paraId="06494472" w14:textId="77777777" w:rsidR="00EE18AE" w:rsidRDefault="00000000">
            <w:r>
              <w:rPr>
                <w:sz w:val="19"/>
                <w:szCs w:val="19"/>
              </w:rPr>
              <w:t>The minimum price increment a given instrument can move.</w:t>
            </w:r>
          </w:p>
        </w:tc>
        <w:tc>
          <w:tcPr>
            <w:tcW w:w="2350" w:type="dxa"/>
            <w:tcMar>
              <w:top w:w="60" w:type="dxa"/>
              <w:left w:w="100" w:type="dxa"/>
              <w:bottom w:w="60" w:type="dxa"/>
              <w:right w:w="100" w:type="dxa"/>
            </w:tcMar>
            <w:vAlign w:val="center"/>
          </w:tcPr>
          <w:p w14:paraId="43D378EB" w14:textId="77777777" w:rsidR="00EE18AE" w:rsidRDefault="00000000">
            <w:r>
              <w:rPr>
                <w:sz w:val="19"/>
                <w:szCs w:val="19"/>
              </w:rPr>
              <w:t>—</w:t>
            </w:r>
          </w:p>
        </w:tc>
        <w:tc>
          <w:tcPr>
            <w:tcW w:w="1960" w:type="dxa"/>
            <w:tcMar>
              <w:top w:w="60" w:type="dxa"/>
              <w:left w:w="100" w:type="dxa"/>
              <w:bottom w:w="60" w:type="dxa"/>
              <w:right w:w="100" w:type="dxa"/>
            </w:tcMar>
            <w:vAlign w:val="center"/>
          </w:tcPr>
          <w:p w14:paraId="22D2AF5B" w14:textId="77777777" w:rsidR="00EE18AE" w:rsidRDefault="00000000">
            <w:r>
              <w:rPr>
                <w:sz w:val="19"/>
                <w:szCs w:val="19"/>
              </w:rPr>
              <w:t>CME ES futures: 1 tick = 0.25 index points = $12.50/contract.</w:t>
            </w:r>
          </w:p>
        </w:tc>
      </w:tr>
      <w:tr w:rsidR="00EE18AE" w14:paraId="1994FB30" w14:textId="77777777">
        <w:tblPrEx>
          <w:tblCellMar>
            <w:top w:w="0" w:type="dxa"/>
            <w:bottom w:w="0" w:type="dxa"/>
          </w:tblCellMar>
        </w:tblPrEx>
        <w:tc>
          <w:tcPr>
            <w:tcW w:w="1550" w:type="dxa"/>
            <w:shd w:val="clear" w:color="auto" w:fill="F2F2F2"/>
            <w:tcMar>
              <w:top w:w="60" w:type="dxa"/>
              <w:left w:w="100" w:type="dxa"/>
              <w:bottom w:w="60" w:type="dxa"/>
              <w:right w:w="100" w:type="dxa"/>
            </w:tcMar>
            <w:vAlign w:val="center"/>
          </w:tcPr>
          <w:p w14:paraId="5400314E" w14:textId="77777777" w:rsidR="00EE18AE" w:rsidRDefault="00000000">
            <w:r>
              <w:rPr>
                <w:sz w:val="19"/>
                <w:szCs w:val="19"/>
              </w:rPr>
              <w:t>Lot Size</w:t>
            </w:r>
          </w:p>
        </w:tc>
        <w:tc>
          <w:tcPr>
            <w:tcW w:w="3400" w:type="dxa"/>
            <w:shd w:val="clear" w:color="auto" w:fill="F2F2F2"/>
            <w:tcMar>
              <w:top w:w="60" w:type="dxa"/>
              <w:left w:w="100" w:type="dxa"/>
              <w:bottom w:w="60" w:type="dxa"/>
              <w:right w:w="100" w:type="dxa"/>
            </w:tcMar>
            <w:vAlign w:val="center"/>
          </w:tcPr>
          <w:p w14:paraId="26706A49" w14:textId="77777777" w:rsidR="00EE18AE" w:rsidRDefault="00000000">
            <w:r>
              <w:rPr>
                <w:sz w:val="19"/>
                <w:szCs w:val="19"/>
              </w:rPr>
              <w:t>The standardised minimum tradeable quantity of an instrument.</w:t>
            </w:r>
          </w:p>
        </w:tc>
        <w:tc>
          <w:tcPr>
            <w:tcW w:w="2350" w:type="dxa"/>
            <w:shd w:val="clear" w:color="auto" w:fill="F2F2F2"/>
            <w:tcMar>
              <w:top w:w="60" w:type="dxa"/>
              <w:left w:w="100" w:type="dxa"/>
              <w:bottom w:w="60" w:type="dxa"/>
              <w:right w:w="100" w:type="dxa"/>
            </w:tcMar>
            <w:vAlign w:val="center"/>
          </w:tcPr>
          <w:p w14:paraId="41AA2A0B" w14:textId="77777777" w:rsidR="00EE18AE" w:rsidRDefault="00000000">
            <w:r>
              <w:rPr>
                <w:sz w:val="19"/>
                <w:szCs w:val="19"/>
              </w:rPr>
              <w:t>—</w:t>
            </w:r>
          </w:p>
        </w:tc>
        <w:tc>
          <w:tcPr>
            <w:tcW w:w="1960" w:type="dxa"/>
            <w:shd w:val="clear" w:color="auto" w:fill="F2F2F2"/>
            <w:tcMar>
              <w:top w:w="60" w:type="dxa"/>
              <w:left w:w="100" w:type="dxa"/>
              <w:bottom w:w="60" w:type="dxa"/>
              <w:right w:w="100" w:type="dxa"/>
            </w:tcMar>
            <w:vAlign w:val="center"/>
          </w:tcPr>
          <w:p w14:paraId="381BB253" w14:textId="77777777" w:rsidR="00EE18AE" w:rsidRDefault="00000000">
            <w:r>
              <w:rPr>
                <w:sz w:val="19"/>
                <w:szCs w:val="19"/>
              </w:rPr>
              <w:t>Standard FX lot = 100,000 units of base currency.</w:t>
            </w:r>
          </w:p>
        </w:tc>
      </w:tr>
      <w:tr w:rsidR="00EE18AE" w14:paraId="6A6D763E" w14:textId="77777777">
        <w:tblPrEx>
          <w:tblCellMar>
            <w:top w:w="0" w:type="dxa"/>
            <w:bottom w:w="0" w:type="dxa"/>
          </w:tblCellMar>
        </w:tblPrEx>
        <w:tc>
          <w:tcPr>
            <w:tcW w:w="1550" w:type="dxa"/>
            <w:tcMar>
              <w:top w:w="60" w:type="dxa"/>
              <w:left w:w="100" w:type="dxa"/>
              <w:bottom w:w="60" w:type="dxa"/>
              <w:right w:w="100" w:type="dxa"/>
            </w:tcMar>
            <w:vAlign w:val="center"/>
          </w:tcPr>
          <w:p w14:paraId="03751C89" w14:textId="77777777" w:rsidR="00EE18AE" w:rsidRDefault="00000000">
            <w:r>
              <w:rPr>
                <w:sz w:val="19"/>
                <w:szCs w:val="19"/>
              </w:rPr>
              <w:t>Notional Value</w:t>
            </w:r>
          </w:p>
        </w:tc>
        <w:tc>
          <w:tcPr>
            <w:tcW w:w="3400" w:type="dxa"/>
            <w:tcMar>
              <w:top w:w="60" w:type="dxa"/>
              <w:left w:w="100" w:type="dxa"/>
              <w:bottom w:w="60" w:type="dxa"/>
              <w:right w:w="100" w:type="dxa"/>
            </w:tcMar>
            <w:vAlign w:val="center"/>
          </w:tcPr>
          <w:p w14:paraId="3ED45ACF" w14:textId="77777777" w:rsidR="00EE18AE" w:rsidRDefault="00000000">
            <w:r>
              <w:rPr>
                <w:sz w:val="19"/>
                <w:szCs w:val="19"/>
              </w:rPr>
              <w:t>The total value controlled by a position, regardless of how much capital was actually posted.</w:t>
            </w:r>
          </w:p>
        </w:tc>
        <w:tc>
          <w:tcPr>
            <w:tcW w:w="2350" w:type="dxa"/>
            <w:tcMar>
              <w:top w:w="60" w:type="dxa"/>
              <w:left w:w="100" w:type="dxa"/>
              <w:bottom w:w="60" w:type="dxa"/>
              <w:right w:w="100" w:type="dxa"/>
            </w:tcMar>
            <w:vAlign w:val="center"/>
          </w:tcPr>
          <w:p w14:paraId="73AC8306" w14:textId="77777777" w:rsidR="00EE18AE" w:rsidRDefault="00000000">
            <w:r>
              <w:rPr>
                <w:sz w:val="19"/>
                <w:szCs w:val="19"/>
              </w:rPr>
              <w:t>Notional = Price × Contract Multiplier × Number of Contracts (or shares).</w:t>
            </w:r>
          </w:p>
        </w:tc>
        <w:tc>
          <w:tcPr>
            <w:tcW w:w="1960" w:type="dxa"/>
            <w:tcMar>
              <w:top w:w="60" w:type="dxa"/>
              <w:left w:w="100" w:type="dxa"/>
              <w:bottom w:w="60" w:type="dxa"/>
              <w:right w:w="100" w:type="dxa"/>
            </w:tcMar>
            <w:vAlign w:val="center"/>
          </w:tcPr>
          <w:p w14:paraId="3C2B767D" w14:textId="77777777" w:rsidR="00EE18AE" w:rsidRDefault="00000000">
            <w:r>
              <w:rPr>
                <w:sz w:val="19"/>
                <w:szCs w:val="19"/>
              </w:rPr>
              <w:t>5 ES contracts at 5,000: Notional = 5,000 × $50 × 5 = $1,250,000.</w:t>
            </w:r>
          </w:p>
        </w:tc>
      </w:tr>
      <w:tr w:rsidR="00EE18AE" w14:paraId="2ACD1B97" w14:textId="77777777">
        <w:tblPrEx>
          <w:tblCellMar>
            <w:top w:w="0" w:type="dxa"/>
            <w:bottom w:w="0" w:type="dxa"/>
          </w:tblCellMar>
        </w:tblPrEx>
        <w:tc>
          <w:tcPr>
            <w:tcW w:w="1550" w:type="dxa"/>
            <w:shd w:val="clear" w:color="auto" w:fill="F2F2F2"/>
            <w:tcMar>
              <w:top w:w="60" w:type="dxa"/>
              <w:left w:w="100" w:type="dxa"/>
              <w:bottom w:w="60" w:type="dxa"/>
              <w:right w:w="100" w:type="dxa"/>
            </w:tcMar>
            <w:vAlign w:val="center"/>
          </w:tcPr>
          <w:p w14:paraId="045E2AC1" w14:textId="77777777" w:rsidR="00EE18AE" w:rsidRDefault="00000000">
            <w:r>
              <w:rPr>
                <w:sz w:val="19"/>
                <w:szCs w:val="19"/>
              </w:rPr>
              <w:t>Leverage</w:t>
            </w:r>
          </w:p>
        </w:tc>
        <w:tc>
          <w:tcPr>
            <w:tcW w:w="3400" w:type="dxa"/>
            <w:shd w:val="clear" w:color="auto" w:fill="F2F2F2"/>
            <w:tcMar>
              <w:top w:w="60" w:type="dxa"/>
              <w:left w:w="100" w:type="dxa"/>
              <w:bottom w:w="60" w:type="dxa"/>
              <w:right w:w="100" w:type="dxa"/>
            </w:tcMar>
            <w:vAlign w:val="center"/>
          </w:tcPr>
          <w:p w14:paraId="2B9AD5C0" w14:textId="77777777" w:rsidR="00EE18AE" w:rsidRDefault="00000000">
            <w:r>
              <w:rPr>
                <w:sz w:val="19"/>
                <w:szCs w:val="19"/>
              </w:rPr>
              <w:t>The ratio of notional exposure to the capital actually committed (margin/equity).</w:t>
            </w:r>
          </w:p>
        </w:tc>
        <w:tc>
          <w:tcPr>
            <w:tcW w:w="2350" w:type="dxa"/>
            <w:shd w:val="clear" w:color="auto" w:fill="F2F2F2"/>
            <w:tcMar>
              <w:top w:w="60" w:type="dxa"/>
              <w:left w:w="100" w:type="dxa"/>
              <w:bottom w:w="60" w:type="dxa"/>
              <w:right w:w="100" w:type="dxa"/>
            </w:tcMar>
            <w:vAlign w:val="center"/>
          </w:tcPr>
          <w:p w14:paraId="6E0703F5" w14:textId="77777777" w:rsidR="00EE18AE" w:rsidRDefault="00000000">
            <w:r>
              <w:rPr>
                <w:sz w:val="19"/>
                <w:szCs w:val="19"/>
              </w:rPr>
              <w:t>Leverage = Notional / Margin (or Equity) Posted.</w:t>
            </w:r>
          </w:p>
        </w:tc>
        <w:tc>
          <w:tcPr>
            <w:tcW w:w="1960" w:type="dxa"/>
            <w:shd w:val="clear" w:color="auto" w:fill="F2F2F2"/>
            <w:tcMar>
              <w:top w:w="60" w:type="dxa"/>
              <w:left w:w="100" w:type="dxa"/>
              <w:bottom w:w="60" w:type="dxa"/>
              <w:right w:w="100" w:type="dxa"/>
            </w:tcMar>
            <w:vAlign w:val="center"/>
          </w:tcPr>
          <w:p w14:paraId="1E2FCCB6" w14:textId="77777777" w:rsidR="00EE18AE" w:rsidRDefault="00000000">
            <w:r>
              <w:rPr>
                <w:sz w:val="19"/>
                <w:szCs w:val="19"/>
              </w:rPr>
              <w:t>$1,250,000 notional on $66,000 margin ≈ 18.9:1 leverage.</w:t>
            </w:r>
          </w:p>
        </w:tc>
      </w:tr>
      <w:tr w:rsidR="00EE18AE" w14:paraId="7E597B3C" w14:textId="77777777">
        <w:tblPrEx>
          <w:tblCellMar>
            <w:top w:w="0" w:type="dxa"/>
            <w:bottom w:w="0" w:type="dxa"/>
          </w:tblCellMar>
        </w:tblPrEx>
        <w:tc>
          <w:tcPr>
            <w:tcW w:w="1550" w:type="dxa"/>
            <w:tcMar>
              <w:top w:w="60" w:type="dxa"/>
              <w:left w:w="100" w:type="dxa"/>
              <w:bottom w:w="60" w:type="dxa"/>
              <w:right w:w="100" w:type="dxa"/>
            </w:tcMar>
            <w:vAlign w:val="center"/>
          </w:tcPr>
          <w:p w14:paraId="19A82F8C" w14:textId="77777777" w:rsidR="00EE18AE" w:rsidRDefault="00000000">
            <w:r>
              <w:rPr>
                <w:sz w:val="19"/>
                <w:szCs w:val="19"/>
              </w:rPr>
              <w:lastRenderedPageBreak/>
              <w:t>Margin</w:t>
            </w:r>
          </w:p>
        </w:tc>
        <w:tc>
          <w:tcPr>
            <w:tcW w:w="3400" w:type="dxa"/>
            <w:tcMar>
              <w:top w:w="60" w:type="dxa"/>
              <w:left w:w="100" w:type="dxa"/>
              <w:bottom w:w="60" w:type="dxa"/>
              <w:right w:w="100" w:type="dxa"/>
            </w:tcMar>
            <w:vAlign w:val="center"/>
          </w:tcPr>
          <w:p w14:paraId="6434D078" w14:textId="77777777" w:rsidR="00EE18AE" w:rsidRDefault="00000000">
            <w:r>
              <w:rPr>
                <w:sz w:val="19"/>
                <w:szCs w:val="19"/>
              </w:rPr>
              <w:t>Collateral posted to support a leveraged position; initial margin at trade inception, maintenance margin as an ongoing minimum.</w:t>
            </w:r>
          </w:p>
        </w:tc>
        <w:tc>
          <w:tcPr>
            <w:tcW w:w="2350" w:type="dxa"/>
            <w:tcMar>
              <w:top w:w="60" w:type="dxa"/>
              <w:left w:w="100" w:type="dxa"/>
              <w:bottom w:w="60" w:type="dxa"/>
              <w:right w:w="100" w:type="dxa"/>
            </w:tcMar>
            <w:vAlign w:val="center"/>
          </w:tcPr>
          <w:p w14:paraId="592E77CA" w14:textId="77777777" w:rsidR="00EE18AE" w:rsidRDefault="00000000">
            <w:r>
              <w:rPr>
                <w:sz w:val="19"/>
                <w:szCs w:val="19"/>
              </w:rPr>
              <w:t>—</w:t>
            </w:r>
          </w:p>
        </w:tc>
        <w:tc>
          <w:tcPr>
            <w:tcW w:w="1960" w:type="dxa"/>
            <w:tcMar>
              <w:top w:w="60" w:type="dxa"/>
              <w:left w:w="100" w:type="dxa"/>
              <w:bottom w:w="60" w:type="dxa"/>
              <w:right w:w="100" w:type="dxa"/>
            </w:tcMar>
            <w:vAlign w:val="center"/>
          </w:tcPr>
          <w:p w14:paraId="66B6654F" w14:textId="77777777" w:rsidR="00EE18AE" w:rsidRDefault="00000000">
            <w:r>
              <w:rPr>
                <w:sz w:val="19"/>
                <w:szCs w:val="19"/>
              </w:rPr>
              <w:t>See the full worked example in §3.3–§3.4.</w:t>
            </w:r>
          </w:p>
        </w:tc>
      </w:tr>
      <w:tr w:rsidR="00EE18AE" w14:paraId="53D88EE0" w14:textId="77777777">
        <w:tblPrEx>
          <w:tblCellMar>
            <w:top w:w="0" w:type="dxa"/>
            <w:bottom w:w="0" w:type="dxa"/>
          </w:tblCellMar>
        </w:tblPrEx>
        <w:tc>
          <w:tcPr>
            <w:tcW w:w="1550" w:type="dxa"/>
            <w:shd w:val="clear" w:color="auto" w:fill="F2F2F2"/>
            <w:tcMar>
              <w:top w:w="60" w:type="dxa"/>
              <w:left w:w="100" w:type="dxa"/>
              <w:bottom w:w="60" w:type="dxa"/>
              <w:right w:w="100" w:type="dxa"/>
            </w:tcMar>
            <w:vAlign w:val="center"/>
          </w:tcPr>
          <w:p w14:paraId="49D9B072" w14:textId="77777777" w:rsidR="00EE18AE" w:rsidRDefault="00000000">
            <w:r>
              <w:rPr>
                <w:sz w:val="19"/>
                <w:szCs w:val="19"/>
              </w:rPr>
              <w:t>Mark-to-Market (MTM)</w:t>
            </w:r>
          </w:p>
        </w:tc>
        <w:tc>
          <w:tcPr>
            <w:tcW w:w="3400" w:type="dxa"/>
            <w:shd w:val="clear" w:color="auto" w:fill="F2F2F2"/>
            <w:tcMar>
              <w:top w:w="60" w:type="dxa"/>
              <w:left w:w="100" w:type="dxa"/>
              <w:bottom w:w="60" w:type="dxa"/>
              <w:right w:w="100" w:type="dxa"/>
            </w:tcMar>
            <w:vAlign w:val="center"/>
          </w:tcPr>
          <w:p w14:paraId="3F52E4CC" w14:textId="77777777" w:rsidR="00EE18AE" w:rsidRDefault="00000000">
            <w:r>
              <w:rPr>
                <w:sz w:val="19"/>
                <w:szCs w:val="19"/>
              </w:rPr>
              <w:t>Revaluing an open position at the current market price to determine unrealised P&amp;L.</w:t>
            </w:r>
          </w:p>
        </w:tc>
        <w:tc>
          <w:tcPr>
            <w:tcW w:w="2350" w:type="dxa"/>
            <w:shd w:val="clear" w:color="auto" w:fill="F2F2F2"/>
            <w:tcMar>
              <w:top w:w="60" w:type="dxa"/>
              <w:left w:w="100" w:type="dxa"/>
              <w:bottom w:w="60" w:type="dxa"/>
              <w:right w:w="100" w:type="dxa"/>
            </w:tcMar>
            <w:vAlign w:val="center"/>
          </w:tcPr>
          <w:p w14:paraId="6A2048B6" w14:textId="77777777" w:rsidR="00EE18AE" w:rsidRDefault="00000000">
            <w:r>
              <w:rPr>
                <w:sz w:val="19"/>
                <w:szCs w:val="19"/>
              </w:rPr>
              <w:t>Unrealised P&amp;L = (Current Price − Avg. Entry Price) × Size × Multiplier.</w:t>
            </w:r>
          </w:p>
        </w:tc>
        <w:tc>
          <w:tcPr>
            <w:tcW w:w="1960" w:type="dxa"/>
            <w:shd w:val="clear" w:color="auto" w:fill="F2F2F2"/>
            <w:tcMar>
              <w:top w:w="60" w:type="dxa"/>
              <w:left w:w="100" w:type="dxa"/>
              <w:bottom w:w="60" w:type="dxa"/>
              <w:right w:w="100" w:type="dxa"/>
            </w:tcMar>
            <w:vAlign w:val="center"/>
          </w:tcPr>
          <w:p w14:paraId="73926FD1" w14:textId="77777777" w:rsidR="00EE18AE" w:rsidRDefault="00000000">
            <w:r>
              <w:rPr>
                <w:sz w:val="19"/>
                <w:szCs w:val="19"/>
              </w:rPr>
              <w:t xml:space="preserve">Long 5 ES @ </w:t>
            </w:r>
            <w:proofErr w:type="spellStart"/>
            <w:r>
              <w:rPr>
                <w:sz w:val="19"/>
                <w:szCs w:val="19"/>
              </w:rPr>
              <w:t>avg</w:t>
            </w:r>
            <w:proofErr w:type="spellEnd"/>
            <w:r>
              <w:rPr>
                <w:sz w:val="19"/>
                <w:szCs w:val="19"/>
              </w:rPr>
              <w:t xml:space="preserve"> 5,002, current price 5,008: Unrealised P&amp;L = (5,008−5,002)×5×$50 = +$1,500.</w:t>
            </w:r>
          </w:p>
        </w:tc>
      </w:tr>
      <w:tr w:rsidR="00EE18AE" w14:paraId="34FB7158" w14:textId="77777777">
        <w:tblPrEx>
          <w:tblCellMar>
            <w:top w:w="0" w:type="dxa"/>
            <w:bottom w:w="0" w:type="dxa"/>
          </w:tblCellMar>
        </w:tblPrEx>
        <w:tc>
          <w:tcPr>
            <w:tcW w:w="1550" w:type="dxa"/>
            <w:tcMar>
              <w:top w:w="60" w:type="dxa"/>
              <w:left w:w="100" w:type="dxa"/>
              <w:bottom w:w="60" w:type="dxa"/>
              <w:right w:w="100" w:type="dxa"/>
            </w:tcMar>
            <w:vAlign w:val="center"/>
          </w:tcPr>
          <w:p w14:paraId="35EDFB12" w14:textId="77777777" w:rsidR="00EE18AE" w:rsidRDefault="00000000">
            <w:r>
              <w:rPr>
                <w:sz w:val="19"/>
                <w:szCs w:val="19"/>
              </w:rPr>
              <w:t>Realised vs Unrealised P&amp;L</w:t>
            </w:r>
          </w:p>
        </w:tc>
        <w:tc>
          <w:tcPr>
            <w:tcW w:w="3400" w:type="dxa"/>
            <w:tcMar>
              <w:top w:w="60" w:type="dxa"/>
              <w:left w:w="100" w:type="dxa"/>
              <w:bottom w:w="60" w:type="dxa"/>
              <w:right w:w="100" w:type="dxa"/>
            </w:tcMar>
            <w:vAlign w:val="center"/>
          </w:tcPr>
          <w:p w14:paraId="05C5B743" w14:textId="77777777" w:rsidR="00EE18AE" w:rsidRDefault="00000000">
            <w:r>
              <w:rPr>
                <w:sz w:val="19"/>
                <w:szCs w:val="19"/>
              </w:rPr>
              <w:t>Realised = locked in by actually closing (part of) a position; Unrealised = still open, subject to further price moves.</w:t>
            </w:r>
          </w:p>
        </w:tc>
        <w:tc>
          <w:tcPr>
            <w:tcW w:w="2350" w:type="dxa"/>
            <w:tcMar>
              <w:top w:w="60" w:type="dxa"/>
              <w:left w:w="100" w:type="dxa"/>
              <w:bottom w:w="60" w:type="dxa"/>
              <w:right w:w="100" w:type="dxa"/>
            </w:tcMar>
            <w:vAlign w:val="center"/>
          </w:tcPr>
          <w:p w14:paraId="0D143107" w14:textId="77777777" w:rsidR="00EE18AE" w:rsidRDefault="00000000">
            <w:r>
              <w:rPr>
                <w:sz w:val="19"/>
                <w:szCs w:val="19"/>
              </w:rPr>
              <w:t>—</w:t>
            </w:r>
          </w:p>
        </w:tc>
        <w:tc>
          <w:tcPr>
            <w:tcW w:w="1960" w:type="dxa"/>
            <w:tcMar>
              <w:top w:w="60" w:type="dxa"/>
              <w:left w:w="100" w:type="dxa"/>
              <w:bottom w:w="60" w:type="dxa"/>
              <w:right w:w="100" w:type="dxa"/>
            </w:tcMar>
            <w:vAlign w:val="center"/>
          </w:tcPr>
          <w:p w14:paraId="5AA9890C" w14:textId="77777777" w:rsidR="00EE18AE" w:rsidRDefault="00000000">
            <w:r>
              <w:rPr>
                <w:sz w:val="19"/>
                <w:szCs w:val="19"/>
              </w:rPr>
              <w:t>See the FIFO worked example in §3.3.</w:t>
            </w:r>
          </w:p>
        </w:tc>
      </w:tr>
      <w:tr w:rsidR="00EE18AE" w14:paraId="0D43158D" w14:textId="77777777">
        <w:tblPrEx>
          <w:tblCellMar>
            <w:top w:w="0" w:type="dxa"/>
            <w:bottom w:w="0" w:type="dxa"/>
          </w:tblCellMar>
        </w:tblPrEx>
        <w:tc>
          <w:tcPr>
            <w:tcW w:w="1550" w:type="dxa"/>
            <w:shd w:val="clear" w:color="auto" w:fill="F2F2F2"/>
            <w:tcMar>
              <w:top w:w="60" w:type="dxa"/>
              <w:left w:w="100" w:type="dxa"/>
              <w:bottom w:w="60" w:type="dxa"/>
              <w:right w:w="100" w:type="dxa"/>
            </w:tcMar>
            <w:vAlign w:val="center"/>
          </w:tcPr>
          <w:p w14:paraId="2D380A99" w14:textId="77777777" w:rsidR="00EE18AE" w:rsidRDefault="00000000">
            <w:r>
              <w:rPr>
                <w:sz w:val="19"/>
                <w:szCs w:val="19"/>
              </w:rPr>
              <w:t>Funding</w:t>
            </w:r>
          </w:p>
        </w:tc>
        <w:tc>
          <w:tcPr>
            <w:tcW w:w="3400" w:type="dxa"/>
            <w:shd w:val="clear" w:color="auto" w:fill="F2F2F2"/>
            <w:tcMar>
              <w:top w:w="60" w:type="dxa"/>
              <w:left w:w="100" w:type="dxa"/>
              <w:bottom w:w="60" w:type="dxa"/>
              <w:right w:w="100" w:type="dxa"/>
            </w:tcMar>
            <w:vAlign w:val="center"/>
          </w:tcPr>
          <w:p w14:paraId="59FB49F3" w14:textId="77777777" w:rsidR="00EE18AE" w:rsidRDefault="00000000">
            <w:r>
              <w:rPr>
                <w:sz w:val="19"/>
                <w:szCs w:val="19"/>
              </w:rPr>
              <w:t>A periodic payment between long and short holders of a perpetual future, keeping its price anchored to spot.</w:t>
            </w:r>
          </w:p>
        </w:tc>
        <w:tc>
          <w:tcPr>
            <w:tcW w:w="2350" w:type="dxa"/>
            <w:shd w:val="clear" w:color="auto" w:fill="F2F2F2"/>
            <w:tcMar>
              <w:top w:w="60" w:type="dxa"/>
              <w:left w:w="100" w:type="dxa"/>
              <w:bottom w:w="60" w:type="dxa"/>
              <w:right w:w="100" w:type="dxa"/>
            </w:tcMar>
            <w:vAlign w:val="center"/>
          </w:tcPr>
          <w:p w14:paraId="1850DC3A" w14:textId="77777777" w:rsidR="00EE18AE" w:rsidRDefault="00000000">
            <w:r>
              <w:rPr>
                <w:sz w:val="19"/>
                <w:szCs w:val="19"/>
              </w:rPr>
              <w:t>Funding Payment = Notional × Funding Rate.</w:t>
            </w:r>
          </w:p>
        </w:tc>
        <w:tc>
          <w:tcPr>
            <w:tcW w:w="1960" w:type="dxa"/>
            <w:shd w:val="clear" w:color="auto" w:fill="F2F2F2"/>
            <w:tcMar>
              <w:top w:w="60" w:type="dxa"/>
              <w:left w:w="100" w:type="dxa"/>
              <w:bottom w:w="60" w:type="dxa"/>
              <w:right w:w="100" w:type="dxa"/>
            </w:tcMar>
            <w:vAlign w:val="center"/>
          </w:tcPr>
          <w:p w14:paraId="711D5497" w14:textId="77777777" w:rsidR="00EE18AE" w:rsidRDefault="00000000">
            <w:r>
              <w:rPr>
                <w:sz w:val="19"/>
                <w:szCs w:val="19"/>
              </w:rPr>
              <w:t>See §2.5 for a full worked example.</w:t>
            </w:r>
          </w:p>
        </w:tc>
      </w:tr>
      <w:tr w:rsidR="00EE18AE" w14:paraId="683E2E42" w14:textId="77777777">
        <w:tblPrEx>
          <w:tblCellMar>
            <w:top w:w="0" w:type="dxa"/>
            <w:bottom w:w="0" w:type="dxa"/>
          </w:tblCellMar>
        </w:tblPrEx>
        <w:tc>
          <w:tcPr>
            <w:tcW w:w="1550" w:type="dxa"/>
            <w:tcMar>
              <w:top w:w="60" w:type="dxa"/>
              <w:left w:w="100" w:type="dxa"/>
              <w:bottom w:w="60" w:type="dxa"/>
              <w:right w:w="100" w:type="dxa"/>
            </w:tcMar>
            <w:vAlign w:val="center"/>
          </w:tcPr>
          <w:p w14:paraId="619E7CE4" w14:textId="77777777" w:rsidR="00EE18AE" w:rsidRDefault="00000000">
            <w:r>
              <w:rPr>
                <w:sz w:val="19"/>
                <w:szCs w:val="19"/>
              </w:rPr>
              <w:t>Carry</w:t>
            </w:r>
          </w:p>
        </w:tc>
        <w:tc>
          <w:tcPr>
            <w:tcW w:w="3400" w:type="dxa"/>
            <w:tcMar>
              <w:top w:w="60" w:type="dxa"/>
              <w:left w:w="100" w:type="dxa"/>
              <w:bottom w:w="60" w:type="dxa"/>
              <w:right w:w="100" w:type="dxa"/>
            </w:tcMar>
            <w:vAlign w:val="center"/>
          </w:tcPr>
          <w:p w14:paraId="182A1949" w14:textId="77777777" w:rsidR="00EE18AE" w:rsidRDefault="00000000">
            <w:r>
              <w:rPr>
                <w:sz w:val="19"/>
                <w:szCs w:val="19"/>
              </w:rPr>
              <w:t>The net cost or benefit of holding a position over time, before any price change (interest, dividends, funding, storage).</w:t>
            </w:r>
          </w:p>
        </w:tc>
        <w:tc>
          <w:tcPr>
            <w:tcW w:w="2350" w:type="dxa"/>
            <w:tcMar>
              <w:top w:w="60" w:type="dxa"/>
              <w:left w:w="100" w:type="dxa"/>
              <w:bottom w:w="60" w:type="dxa"/>
              <w:right w:w="100" w:type="dxa"/>
            </w:tcMar>
            <w:vAlign w:val="center"/>
          </w:tcPr>
          <w:p w14:paraId="2218D2EC" w14:textId="77777777" w:rsidR="00EE18AE" w:rsidRDefault="00000000">
            <w:r>
              <w:rPr>
                <w:sz w:val="19"/>
                <w:szCs w:val="19"/>
              </w:rPr>
              <w:t>Carry = Income Received − Financing/Storage Cost.</w:t>
            </w:r>
          </w:p>
        </w:tc>
        <w:tc>
          <w:tcPr>
            <w:tcW w:w="1960" w:type="dxa"/>
            <w:tcMar>
              <w:top w:w="60" w:type="dxa"/>
              <w:left w:w="100" w:type="dxa"/>
              <w:bottom w:w="60" w:type="dxa"/>
              <w:right w:w="100" w:type="dxa"/>
            </w:tcMar>
            <w:vAlign w:val="center"/>
          </w:tcPr>
          <w:p w14:paraId="2D607390" w14:textId="77777777" w:rsidR="00EE18AE" w:rsidRDefault="00000000">
            <w:r>
              <w:rPr>
                <w:sz w:val="19"/>
                <w:szCs w:val="19"/>
              </w:rPr>
              <w:t>Holding a higher-yielding currency long generally earns positive carry from the rate differential.</w:t>
            </w:r>
          </w:p>
        </w:tc>
      </w:tr>
      <w:tr w:rsidR="00EE18AE" w14:paraId="10BDC2CC" w14:textId="77777777">
        <w:tblPrEx>
          <w:tblCellMar>
            <w:top w:w="0" w:type="dxa"/>
            <w:bottom w:w="0" w:type="dxa"/>
          </w:tblCellMar>
        </w:tblPrEx>
        <w:tc>
          <w:tcPr>
            <w:tcW w:w="1550" w:type="dxa"/>
            <w:shd w:val="clear" w:color="auto" w:fill="F2F2F2"/>
            <w:tcMar>
              <w:top w:w="60" w:type="dxa"/>
              <w:left w:w="100" w:type="dxa"/>
              <w:bottom w:w="60" w:type="dxa"/>
              <w:right w:w="100" w:type="dxa"/>
            </w:tcMar>
            <w:vAlign w:val="center"/>
          </w:tcPr>
          <w:p w14:paraId="348176BD" w14:textId="77777777" w:rsidR="00EE18AE" w:rsidRDefault="00000000">
            <w:r>
              <w:rPr>
                <w:sz w:val="19"/>
                <w:szCs w:val="19"/>
              </w:rPr>
              <w:t>Basis</w:t>
            </w:r>
          </w:p>
        </w:tc>
        <w:tc>
          <w:tcPr>
            <w:tcW w:w="3400" w:type="dxa"/>
            <w:shd w:val="clear" w:color="auto" w:fill="F2F2F2"/>
            <w:tcMar>
              <w:top w:w="60" w:type="dxa"/>
              <w:left w:w="100" w:type="dxa"/>
              <w:bottom w:w="60" w:type="dxa"/>
              <w:right w:w="100" w:type="dxa"/>
            </w:tcMar>
            <w:vAlign w:val="center"/>
          </w:tcPr>
          <w:p w14:paraId="65B5058D" w14:textId="77777777" w:rsidR="00EE18AE" w:rsidRDefault="00000000">
            <w:r>
              <w:rPr>
                <w:sz w:val="19"/>
                <w:szCs w:val="19"/>
              </w:rPr>
              <w:t>The difference between a derivative's price and its underlying's spot price.</w:t>
            </w:r>
          </w:p>
        </w:tc>
        <w:tc>
          <w:tcPr>
            <w:tcW w:w="2350" w:type="dxa"/>
            <w:shd w:val="clear" w:color="auto" w:fill="F2F2F2"/>
            <w:tcMar>
              <w:top w:w="60" w:type="dxa"/>
              <w:left w:w="100" w:type="dxa"/>
              <w:bottom w:w="60" w:type="dxa"/>
              <w:right w:w="100" w:type="dxa"/>
            </w:tcMar>
            <w:vAlign w:val="center"/>
          </w:tcPr>
          <w:p w14:paraId="6CA2EAB4" w14:textId="77777777" w:rsidR="00EE18AE" w:rsidRDefault="00000000">
            <w:r>
              <w:rPr>
                <w:sz w:val="19"/>
                <w:szCs w:val="19"/>
              </w:rPr>
              <w:t>Basis = Futures Price − Spot Price.</w:t>
            </w:r>
          </w:p>
        </w:tc>
        <w:tc>
          <w:tcPr>
            <w:tcW w:w="1960" w:type="dxa"/>
            <w:shd w:val="clear" w:color="auto" w:fill="F2F2F2"/>
            <w:tcMar>
              <w:top w:w="60" w:type="dxa"/>
              <w:left w:w="100" w:type="dxa"/>
              <w:bottom w:w="60" w:type="dxa"/>
              <w:right w:w="100" w:type="dxa"/>
            </w:tcMar>
            <w:vAlign w:val="center"/>
          </w:tcPr>
          <w:p w14:paraId="4112FE97" w14:textId="77777777" w:rsidR="00EE18AE" w:rsidRDefault="00000000">
            <w:r>
              <w:rPr>
                <w:sz w:val="19"/>
                <w:szCs w:val="19"/>
              </w:rPr>
              <w:t>See the cash-and-carry worked example in §3.6.</w:t>
            </w:r>
          </w:p>
        </w:tc>
      </w:tr>
      <w:tr w:rsidR="00EE18AE" w14:paraId="4CB56340" w14:textId="77777777">
        <w:tblPrEx>
          <w:tblCellMar>
            <w:top w:w="0" w:type="dxa"/>
            <w:bottom w:w="0" w:type="dxa"/>
          </w:tblCellMar>
        </w:tblPrEx>
        <w:tc>
          <w:tcPr>
            <w:tcW w:w="1550" w:type="dxa"/>
            <w:tcMar>
              <w:top w:w="60" w:type="dxa"/>
              <w:left w:w="100" w:type="dxa"/>
              <w:bottom w:w="60" w:type="dxa"/>
              <w:right w:w="100" w:type="dxa"/>
            </w:tcMar>
            <w:vAlign w:val="center"/>
          </w:tcPr>
          <w:p w14:paraId="5AE6BAB7" w14:textId="77777777" w:rsidR="00EE18AE" w:rsidRDefault="00000000">
            <w:r>
              <w:rPr>
                <w:sz w:val="19"/>
                <w:szCs w:val="19"/>
              </w:rPr>
              <w:t>Liquidity</w:t>
            </w:r>
          </w:p>
        </w:tc>
        <w:tc>
          <w:tcPr>
            <w:tcW w:w="3400" w:type="dxa"/>
            <w:tcMar>
              <w:top w:w="60" w:type="dxa"/>
              <w:left w:w="100" w:type="dxa"/>
              <w:bottom w:w="60" w:type="dxa"/>
              <w:right w:w="100" w:type="dxa"/>
            </w:tcMar>
            <w:vAlign w:val="center"/>
          </w:tcPr>
          <w:p w14:paraId="6095D792" w14:textId="77777777" w:rsidR="00EE18AE" w:rsidRDefault="00000000">
            <w:r>
              <w:rPr>
                <w:sz w:val="19"/>
                <w:szCs w:val="19"/>
              </w:rPr>
              <w:t>How easily a position can be traded without materially moving the price.</w:t>
            </w:r>
          </w:p>
        </w:tc>
        <w:tc>
          <w:tcPr>
            <w:tcW w:w="2350" w:type="dxa"/>
            <w:tcMar>
              <w:top w:w="60" w:type="dxa"/>
              <w:left w:w="100" w:type="dxa"/>
              <w:bottom w:w="60" w:type="dxa"/>
              <w:right w:w="100" w:type="dxa"/>
            </w:tcMar>
            <w:vAlign w:val="center"/>
          </w:tcPr>
          <w:p w14:paraId="6F7BD4C0" w14:textId="77777777" w:rsidR="00EE18AE" w:rsidRDefault="00000000">
            <w:r>
              <w:rPr>
                <w:sz w:val="19"/>
                <w:szCs w:val="19"/>
              </w:rPr>
              <w:t>Often proxied by quoted depth, average daily volume, or bid-ask spread.</w:t>
            </w:r>
          </w:p>
        </w:tc>
        <w:tc>
          <w:tcPr>
            <w:tcW w:w="1960" w:type="dxa"/>
            <w:tcMar>
              <w:top w:w="60" w:type="dxa"/>
              <w:left w:w="100" w:type="dxa"/>
              <w:bottom w:w="60" w:type="dxa"/>
              <w:right w:w="100" w:type="dxa"/>
            </w:tcMar>
            <w:vAlign w:val="center"/>
          </w:tcPr>
          <w:p w14:paraId="7C9DCC59" w14:textId="77777777" w:rsidR="00EE18AE" w:rsidRDefault="00000000">
            <w:r>
              <w:rPr>
                <w:sz w:val="19"/>
                <w:szCs w:val="19"/>
              </w:rPr>
              <w:t>A $10,000 order in AAPL has negligible market impact; the same order in a micro-cap stock might move the price several percent.</w:t>
            </w:r>
          </w:p>
        </w:tc>
      </w:tr>
      <w:tr w:rsidR="00EE18AE" w14:paraId="18B5204B" w14:textId="77777777">
        <w:tblPrEx>
          <w:tblCellMar>
            <w:top w:w="0" w:type="dxa"/>
            <w:bottom w:w="0" w:type="dxa"/>
          </w:tblCellMar>
        </w:tblPrEx>
        <w:tc>
          <w:tcPr>
            <w:tcW w:w="1550" w:type="dxa"/>
            <w:shd w:val="clear" w:color="auto" w:fill="F2F2F2"/>
            <w:tcMar>
              <w:top w:w="60" w:type="dxa"/>
              <w:left w:w="100" w:type="dxa"/>
              <w:bottom w:w="60" w:type="dxa"/>
              <w:right w:w="100" w:type="dxa"/>
            </w:tcMar>
            <w:vAlign w:val="center"/>
          </w:tcPr>
          <w:p w14:paraId="65AD5DE6" w14:textId="77777777" w:rsidR="00EE18AE" w:rsidRDefault="00000000">
            <w:r>
              <w:rPr>
                <w:sz w:val="19"/>
                <w:szCs w:val="19"/>
              </w:rPr>
              <w:t>Slippage</w:t>
            </w:r>
          </w:p>
        </w:tc>
        <w:tc>
          <w:tcPr>
            <w:tcW w:w="3400" w:type="dxa"/>
            <w:shd w:val="clear" w:color="auto" w:fill="F2F2F2"/>
            <w:tcMar>
              <w:top w:w="60" w:type="dxa"/>
              <w:left w:w="100" w:type="dxa"/>
              <w:bottom w:w="60" w:type="dxa"/>
              <w:right w:w="100" w:type="dxa"/>
            </w:tcMar>
            <w:vAlign w:val="center"/>
          </w:tcPr>
          <w:p w14:paraId="46F81D9E" w14:textId="77777777" w:rsidR="00EE18AE" w:rsidRDefault="00000000">
            <w:r>
              <w:rPr>
                <w:sz w:val="19"/>
                <w:szCs w:val="19"/>
              </w:rPr>
              <w:t>The difference between the price you expected (e.g. at decision time) and the price you actually achieved.</w:t>
            </w:r>
          </w:p>
        </w:tc>
        <w:tc>
          <w:tcPr>
            <w:tcW w:w="2350" w:type="dxa"/>
            <w:shd w:val="clear" w:color="auto" w:fill="F2F2F2"/>
            <w:tcMar>
              <w:top w:w="60" w:type="dxa"/>
              <w:left w:w="100" w:type="dxa"/>
              <w:bottom w:w="60" w:type="dxa"/>
              <w:right w:w="100" w:type="dxa"/>
            </w:tcMar>
            <w:vAlign w:val="center"/>
          </w:tcPr>
          <w:p w14:paraId="379500CE" w14:textId="77777777" w:rsidR="00EE18AE" w:rsidRDefault="00000000">
            <w:r>
              <w:rPr>
                <w:sz w:val="19"/>
                <w:szCs w:val="19"/>
              </w:rPr>
              <w:t>Slippage = Actual Fill Price − Reference/Decision Price (sign convention consistent with side).</w:t>
            </w:r>
          </w:p>
        </w:tc>
        <w:tc>
          <w:tcPr>
            <w:tcW w:w="1960" w:type="dxa"/>
            <w:shd w:val="clear" w:color="auto" w:fill="F2F2F2"/>
            <w:tcMar>
              <w:top w:w="60" w:type="dxa"/>
              <w:left w:w="100" w:type="dxa"/>
              <w:bottom w:w="60" w:type="dxa"/>
              <w:right w:w="100" w:type="dxa"/>
            </w:tcMar>
            <w:vAlign w:val="center"/>
          </w:tcPr>
          <w:p w14:paraId="6A4CA079" w14:textId="77777777" w:rsidR="00EE18AE" w:rsidRDefault="00000000">
            <w:r>
              <w:rPr>
                <w:sz w:val="19"/>
                <w:szCs w:val="19"/>
              </w:rPr>
              <w:t>Decide to buy at a $100.02 mid-price, actually filled at $100.05: slippage = $0.03/share against you.</w:t>
            </w:r>
          </w:p>
        </w:tc>
      </w:tr>
    </w:tbl>
    <w:p w14:paraId="77A4AB05" w14:textId="77777777" w:rsidR="00EE18AE" w:rsidRDefault="00000000">
      <w:pPr>
        <w:pStyle w:val="Heading2"/>
        <w:spacing w:before="260"/>
      </w:pPr>
      <w:bookmarkStart w:id="26" w:name="_Toc239542921"/>
      <w:r>
        <w:t>3.3 Fully Worked Example — Leveraged Futures Position P&amp;L</w:t>
      </w:r>
      <w:bookmarkEnd w:id="26"/>
    </w:p>
    <w:p w14:paraId="0341CD7D" w14:textId="77777777" w:rsidR="00EE18AE" w:rsidRDefault="00000000">
      <w:pPr>
        <w:spacing w:after="120"/>
      </w:pPr>
      <w:r>
        <w:t>This is the model answer to the practical exercise: given a sequence of fills, compute realised and unrealised P&amp;L, notional exposure and margin usage. The instrument is a CME E-mini S&amp;P 500 (ES) future: contract multiplier $50 per index point, illustrative initial margin $13,200 per contract (for teaching purposes — not a live CME margin figure, which changes with volatility).</w:t>
      </w:r>
    </w:p>
    <w:tbl>
      <w:tblPr>
        <w:tblW w:w="10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250"/>
        <w:gridCol w:w="1250"/>
        <w:gridCol w:w="1600"/>
        <w:gridCol w:w="1900"/>
        <w:gridCol w:w="1660"/>
        <w:gridCol w:w="1500"/>
      </w:tblGrid>
      <w:tr w:rsidR="00EE18AE" w14:paraId="0B291B15" w14:textId="77777777">
        <w:tblPrEx>
          <w:tblCellMar>
            <w:top w:w="0" w:type="dxa"/>
            <w:bottom w:w="0" w:type="dxa"/>
          </w:tblCellMar>
        </w:tblPrEx>
        <w:trPr>
          <w:tblHeader/>
        </w:trPr>
        <w:tc>
          <w:tcPr>
            <w:tcW w:w="1500" w:type="dxa"/>
            <w:shd w:val="clear" w:color="auto" w:fill="1F3864"/>
            <w:tcMar>
              <w:top w:w="60" w:type="dxa"/>
              <w:left w:w="100" w:type="dxa"/>
              <w:bottom w:w="60" w:type="dxa"/>
              <w:right w:w="100" w:type="dxa"/>
            </w:tcMar>
            <w:vAlign w:val="center"/>
          </w:tcPr>
          <w:p w14:paraId="0E74F2D4" w14:textId="77777777" w:rsidR="00EE18AE" w:rsidRDefault="00000000">
            <w:r>
              <w:rPr>
                <w:b/>
                <w:bCs/>
                <w:color w:val="FFFFFF"/>
                <w:sz w:val="19"/>
                <w:szCs w:val="19"/>
              </w:rPr>
              <w:t>Time</w:t>
            </w:r>
          </w:p>
        </w:tc>
        <w:tc>
          <w:tcPr>
            <w:tcW w:w="1250" w:type="dxa"/>
            <w:shd w:val="clear" w:color="auto" w:fill="1F3864"/>
            <w:tcMar>
              <w:top w:w="60" w:type="dxa"/>
              <w:left w:w="100" w:type="dxa"/>
              <w:bottom w:w="60" w:type="dxa"/>
              <w:right w:w="100" w:type="dxa"/>
            </w:tcMar>
            <w:vAlign w:val="center"/>
          </w:tcPr>
          <w:p w14:paraId="37946E42" w14:textId="77777777" w:rsidR="00EE18AE" w:rsidRDefault="00000000">
            <w:r>
              <w:rPr>
                <w:b/>
                <w:bCs/>
                <w:color w:val="FFFFFF"/>
                <w:sz w:val="19"/>
                <w:szCs w:val="19"/>
              </w:rPr>
              <w:t>Action</w:t>
            </w:r>
          </w:p>
        </w:tc>
        <w:tc>
          <w:tcPr>
            <w:tcW w:w="1250" w:type="dxa"/>
            <w:shd w:val="clear" w:color="auto" w:fill="1F3864"/>
            <w:tcMar>
              <w:top w:w="60" w:type="dxa"/>
              <w:left w:w="100" w:type="dxa"/>
              <w:bottom w:w="60" w:type="dxa"/>
              <w:right w:w="100" w:type="dxa"/>
            </w:tcMar>
            <w:vAlign w:val="center"/>
          </w:tcPr>
          <w:p w14:paraId="5456B025" w14:textId="77777777" w:rsidR="00EE18AE" w:rsidRDefault="00000000">
            <w:r>
              <w:rPr>
                <w:b/>
                <w:bCs/>
                <w:color w:val="FFFFFF"/>
                <w:sz w:val="19"/>
                <w:szCs w:val="19"/>
              </w:rPr>
              <w:t>Fill Price</w:t>
            </w:r>
          </w:p>
        </w:tc>
        <w:tc>
          <w:tcPr>
            <w:tcW w:w="1600" w:type="dxa"/>
            <w:shd w:val="clear" w:color="auto" w:fill="1F3864"/>
            <w:tcMar>
              <w:top w:w="60" w:type="dxa"/>
              <w:left w:w="100" w:type="dxa"/>
              <w:bottom w:w="60" w:type="dxa"/>
              <w:right w:w="100" w:type="dxa"/>
            </w:tcMar>
            <w:vAlign w:val="center"/>
          </w:tcPr>
          <w:p w14:paraId="1CB050F0" w14:textId="77777777" w:rsidR="00EE18AE" w:rsidRDefault="00000000">
            <w:r>
              <w:rPr>
                <w:b/>
                <w:bCs/>
                <w:color w:val="FFFFFF"/>
                <w:sz w:val="19"/>
                <w:szCs w:val="19"/>
              </w:rPr>
              <w:t>Net Position (Contracts)</w:t>
            </w:r>
          </w:p>
        </w:tc>
        <w:tc>
          <w:tcPr>
            <w:tcW w:w="1900" w:type="dxa"/>
            <w:shd w:val="clear" w:color="auto" w:fill="1F3864"/>
            <w:tcMar>
              <w:top w:w="60" w:type="dxa"/>
              <w:left w:w="100" w:type="dxa"/>
              <w:bottom w:w="60" w:type="dxa"/>
              <w:right w:w="100" w:type="dxa"/>
            </w:tcMar>
            <w:vAlign w:val="center"/>
          </w:tcPr>
          <w:p w14:paraId="331DC455" w14:textId="77777777" w:rsidR="00EE18AE" w:rsidRDefault="00000000">
            <w:r>
              <w:rPr>
                <w:b/>
                <w:bCs/>
                <w:color w:val="FFFFFF"/>
                <w:sz w:val="19"/>
                <w:szCs w:val="19"/>
              </w:rPr>
              <w:t>Avg. Cost of Open Lots</w:t>
            </w:r>
          </w:p>
        </w:tc>
        <w:tc>
          <w:tcPr>
            <w:tcW w:w="1660" w:type="dxa"/>
            <w:shd w:val="clear" w:color="auto" w:fill="1F3864"/>
            <w:tcMar>
              <w:top w:w="60" w:type="dxa"/>
              <w:left w:w="100" w:type="dxa"/>
              <w:bottom w:w="60" w:type="dxa"/>
              <w:right w:w="100" w:type="dxa"/>
            </w:tcMar>
            <w:vAlign w:val="center"/>
          </w:tcPr>
          <w:p w14:paraId="1801ACC0" w14:textId="77777777" w:rsidR="00EE18AE" w:rsidRDefault="00000000">
            <w:r>
              <w:rPr>
                <w:b/>
                <w:bCs/>
                <w:color w:val="FFFFFF"/>
                <w:sz w:val="19"/>
                <w:szCs w:val="19"/>
              </w:rPr>
              <w:t>Realised P&amp;L (This Fill)</w:t>
            </w:r>
          </w:p>
        </w:tc>
        <w:tc>
          <w:tcPr>
            <w:tcW w:w="1500" w:type="dxa"/>
            <w:shd w:val="clear" w:color="auto" w:fill="1F3864"/>
            <w:tcMar>
              <w:top w:w="60" w:type="dxa"/>
              <w:left w:w="100" w:type="dxa"/>
              <w:bottom w:w="60" w:type="dxa"/>
              <w:right w:w="100" w:type="dxa"/>
            </w:tcMar>
            <w:vAlign w:val="center"/>
          </w:tcPr>
          <w:p w14:paraId="134CFA40" w14:textId="77777777" w:rsidR="00EE18AE" w:rsidRDefault="00000000">
            <w:r>
              <w:rPr>
                <w:b/>
                <w:bCs/>
                <w:color w:val="FFFFFF"/>
                <w:sz w:val="19"/>
                <w:szCs w:val="19"/>
              </w:rPr>
              <w:t>Cumulative Realised P&amp;L</w:t>
            </w:r>
          </w:p>
        </w:tc>
      </w:tr>
      <w:tr w:rsidR="00EE18AE" w14:paraId="0DD3E5B9" w14:textId="77777777">
        <w:tblPrEx>
          <w:tblCellMar>
            <w:top w:w="0" w:type="dxa"/>
            <w:bottom w:w="0" w:type="dxa"/>
          </w:tblCellMar>
        </w:tblPrEx>
        <w:tc>
          <w:tcPr>
            <w:tcW w:w="1500" w:type="dxa"/>
            <w:tcMar>
              <w:top w:w="60" w:type="dxa"/>
              <w:left w:w="100" w:type="dxa"/>
              <w:bottom w:w="60" w:type="dxa"/>
              <w:right w:w="100" w:type="dxa"/>
            </w:tcMar>
            <w:vAlign w:val="center"/>
          </w:tcPr>
          <w:p w14:paraId="4300A016" w14:textId="77777777" w:rsidR="00EE18AE" w:rsidRDefault="00000000">
            <w:r>
              <w:rPr>
                <w:sz w:val="19"/>
                <w:szCs w:val="19"/>
              </w:rPr>
              <w:t>Day 1, 09:30</w:t>
            </w:r>
          </w:p>
        </w:tc>
        <w:tc>
          <w:tcPr>
            <w:tcW w:w="1250" w:type="dxa"/>
            <w:tcMar>
              <w:top w:w="60" w:type="dxa"/>
              <w:left w:w="100" w:type="dxa"/>
              <w:bottom w:w="60" w:type="dxa"/>
              <w:right w:w="100" w:type="dxa"/>
            </w:tcMar>
            <w:vAlign w:val="center"/>
          </w:tcPr>
          <w:p w14:paraId="0A0A5352" w14:textId="77777777" w:rsidR="00EE18AE" w:rsidRDefault="00000000">
            <w:r>
              <w:rPr>
                <w:sz w:val="19"/>
                <w:szCs w:val="19"/>
              </w:rPr>
              <w:t>BUY 3</w:t>
            </w:r>
          </w:p>
        </w:tc>
        <w:tc>
          <w:tcPr>
            <w:tcW w:w="1250" w:type="dxa"/>
            <w:tcMar>
              <w:top w:w="60" w:type="dxa"/>
              <w:left w:w="100" w:type="dxa"/>
              <w:bottom w:w="60" w:type="dxa"/>
              <w:right w:w="100" w:type="dxa"/>
            </w:tcMar>
            <w:vAlign w:val="center"/>
          </w:tcPr>
          <w:p w14:paraId="492B36C6" w14:textId="77777777" w:rsidR="00EE18AE" w:rsidRDefault="00000000">
            <w:r>
              <w:rPr>
                <w:sz w:val="19"/>
                <w:szCs w:val="19"/>
              </w:rPr>
              <w:t>5,000.00</w:t>
            </w:r>
          </w:p>
        </w:tc>
        <w:tc>
          <w:tcPr>
            <w:tcW w:w="1600" w:type="dxa"/>
            <w:tcMar>
              <w:top w:w="60" w:type="dxa"/>
              <w:left w:w="100" w:type="dxa"/>
              <w:bottom w:w="60" w:type="dxa"/>
              <w:right w:w="100" w:type="dxa"/>
            </w:tcMar>
            <w:vAlign w:val="center"/>
          </w:tcPr>
          <w:p w14:paraId="19E1166F" w14:textId="77777777" w:rsidR="00EE18AE" w:rsidRDefault="00000000">
            <w:r>
              <w:rPr>
                <w:sz w:val="19"/>
                <w:szCs w:val="19"/>
              </w:rPr>
              <w:t>+3</w:t>
            </w:r>
          </w:p>
        </w:tc>
        <w:tc>
          <w:tcPr>
            <w:tcW w:w="1900" w:type="dxa"/>
            <w:tcMar>
              <w:top w:w="60" w:type="dxa"/>
              <w:left w:w="100" w:type="dxa"/>
              <w:bottom w:w="60" w:type="dxa"/>
              <w:right w:w="100" w:type="dxa"/>
            </w:tcMar>
            <w:vAlign w:val="center"/>
          </w:tcPr>
          <w:p w14:paraId="6B266542" w14:textId="77777777" w:rsidR="00EE18AE" w:rsidRDefault="00000000">
            <w:r>
              <w:rPr>
                <w:sz w:val="19"/>
                <w:szCs w:val="19"/>
              </w:rPr>
              <w:t>5,000.00</w:t>
            </w:r>
          </w:p>
        </w:tc>
        <w:tc>
          <w:tcPr>
            <w:tcW w:w="1660" w:type="dxa"/>
            <w:tcMar>
              <w:top w:w="60" w:type="dxa"/>
              <w:left w:w="100" w:type="dxa"/>
              <w:bottom w:w="60" w:type="dxa"/>
              <w:right w:w="100" w:type="dxa"/>
            </w:tcMar>
            <w:vAlign w:val="center"/>
          </w:tcPr>
          <w:p w14:paraId="3B077303" w14:textId="77777777" w:rsidR="00EE18AE" w:rsidRDefault="00000000">
            <w:r>
              <w:rPr>
                <w:sz w:val="19"/>
                <w:szCs w:val="19"/>
              </w:rPr>
              <w:t>$0</w:t>
            </w:r>
          </w:p>
        </w:tc>
        <w:tc>
          <w:tcPr>
            <w:tcW w:w="1500" w:type="dxa"/>
            <w:tcMar>
              <w:top w:w="60" w:type="dxa"/>
              <w:left w:w="100" w:type="dxa"/>
              <w:bottom w:w="60" w:type="dxa"/>
              <w:right w:w="100" w:type="dxa"/>
            </w:tcMar>
            <w:vAlign w:val="center"/>
          </w:tcPr>
          <w:p w14:paraId="27D4126F" w14:textId="77777777" w:rsidR="00EE18AE" w:rsidRDefault="00000000">
            <w:r>
              <w:rPr>
                <w:sz w:val="19"/>
                <w:szCs w:val="19"/>
              </w:rPr>
              <w:t>$0</w:t>
            </w:r>
          </w:p>
        </w:tc>
      </w:tr>
      <w:tr w:rsidR="00EE18AE" w14:paraId="0B0F6662" w14:textId="77777777">
        <w:tblPrEx>
          <w:tblCellMar>
            <w:top w:w="0" w:type="dxa"/>
            <w:bottom w:w="0" w:type="dxa"/>
          </w:tblCellMar>
        </w:tblPrEx>
        <w:tc>
          <w:tcPr>
            <w:tcW w:w="1500" w:type="dxa"/>
            <w:shd w:val="clear" w:color="auto" w:fill="F2F2F2"/>
            <w:tcMar>
              <w:top w:w="60" w:type="dxa"/>
              <w:left w:w="100" w:type="dxa"/>
              <w:bottom w:w="60" w:type="dxa"/>
              <w:right w:w="100" w:type="dxa"/>
            </w:tcMar>
            <w:vAlign w:val="center"/>
          </w:tcPr>
          <w:p w14:paraId="1520A2EE" w14:textId="77777777" w:rsidR="00EE18AE" w:rsidRDefault="00000000">
            <w:r>
              <w:rPr>
                <w:sz w:val="19"/>
                <w:szCs w:val="19"/>
              </w:rPr>
              <w:t>Day 1, 14:00</w:t>
            </w:r>
          </w:p>
        </w:tc>
        <w:tc>
          <w:tcPr>
            <w:tcW w:w="1250" w:type="dxa"/>
            <w:shd w:val="clear" w:color="auto" w:fill="F2F2F2"/>
            <w:tcMar>
              <w:top w:w="60" w:type="dxa"/>
              <w:left w:w="100" w:type="dxa"/>
              <w:bottom w:w="60" w:type="dxa"/>
              <w:right w:w="100" w:type="dxa"/>
            </w:tcMar>
            <w:vAlign w:val="center"/>
          </w:tcPr>
          <w:p w14:paraId="20174B32" w14:textId="77777777" w:rsidR="00EE18AE" w:rsidRDefault="00000000">
            <w:r>
              <w:rPr>
                <w:sz w:val="19"/>
                <w:szCs w:val="19"/>
              </w:rPr>
              <w:t>BUY 2</w:t>
            </w:r>
          </w:p>
        </w:tc>
        <w:tc>
          <w:tcPr>
            <w:tcW w:w="1250" w:type="dxa"/>
            <w:shd w:val="clear" w:color="auto" w:fill="F2F2F2"/>
            <w:tcMar>
              <w:top w:w="60" w:type="dxa"/>
              <w:left w:w="100" w:type="dxa"/>
              <w:bottom w:w="60" w:type="dxa"/>
              <w:right w:w="100" w:type="dxa"/>
            </w:tcMar>
            <w:vAlign w:val="center"/>
          </w:tcPr>
          <w:p w14:paraId="38AC82A0" w14:textId="77777777" w:rsidR="00EE18AE" w:rsidRDefault="00000000">
            <w:r>
              <w:rPr>
                <w:sz w:val="19"/>
                <w:szCs w:val="19"/>
              </w:rPr>
              <w:t>5,005.00</w:t>
            </w:r>
          </w:p>
        </w:tc>
        <w:tc>
          <w:tcPr>
            <w:tcW w:w="1600" w:type="dxa"/>
            <w:shd w:val="clear" w:color="auto" w:fill="F2F2F2"/>
            <w:tcMar>
              <w:top w:w="60" w:type="dxa"/>
              <w:left w:w="100" w:type="dxa"/>
              <w:bottom w:w="60" w:type="dxa"/>
              <w:right w:w="100" w:type="dxa"/>
            </w:tcMar>
            <w:vAlign w:val="center"/>
          </w:tcPr>
          <w:p w14:paraId="4D1BF636" w14:textId="77777777" w:rsidR="00EE18AE" w:rsidRDefault="00000000">
            <w:r>
              <w:rPr>
                <w:sz w:val="19"/>
                <w:szCs w:val="19"/>
              </w:rPr>
              <w:t>+5</w:t>
            </w:r>
          </w:p>
        </w:tc>
        <w:tc>
          <w:tcPr>
            <w:tcW w:w="1900" w:type="dxa"/>
            <w:shd w:val="clear" w:color="auto" w:fill="F2F2F2"/>
            <w:tcMar>
              <w:top w:w="60" w:type="dxa"/>
              <w:left w:w="100" w:type="dxa"/>
              <w:bottom w:w="60" w:type="dxa"/>
              <w:right w:w="100" w:type="dxa"/>
            </w:tcMar>
            <w:vAlign w:val="center"/>
          </w:tcPr>
          <w:p w14:paraId="44C15766" w14:textId="77777777" w:rsidR="00EE18AE" w:rsidRDefault="00000000">
            <w:r>
              <w:rPr>
                <w:sz w:val="19"/>
                <w:szCs w:val="19"/>
              </w:rPr>
              <w:t>5,002.00</w:t>
            </w:r>
          </w:p>
        </w:tc>
        <w:tc>
          <w:tcPr>
            <w:tcW w:w="1660" w:type="dxa"/>
            <w:shd w:val="clear" w:color="auto" w:fill="F2F2F2"/>
            <w:tcMar>
              <w:top w:w="60" w:type="dxa"/>
              <w:left w:w="100" w:type="dxa"/>
              <w:bottom w:w="60" w:type="dxa"/>
              <w:right w:w="100" w:type="dxa"/>
            </w:tcMar>
            <w:vAlign w:val="center"/>
          </w:tcPr>
          <w:p w14:paraId="4842BF78" w14:textId="77777777" w:rsidR="00EE18AE" w:rsidRDefault="00000000">
            <w:r>
              <w:rPr>
                <w:sz w:val="19"/>
                <w:szCs w:val="19"/>
              </w:rPr>
              <w:t>$0</w:t>
            </w:r>
          </w:p>
        </w:tc>
        <w:tc>
          <w:tcPr>
            <w:tcW w:w="1500" w:type="dxa"/>
            <w:shd w:val="clear" w:color="auto" w:fill="F2F2F2"/>
            <w:tcMar>
              <w:top w:w="60" w:type="dxa"/>
              <w:left w:w="100" w:type="dxa"/>
              <w:bottom w:w="60" w:type="dxa"/>
              <w:right w:w="100" w:type="dxa"/>
            </w:tcMar>
            <w:vAlign w:val="center"/>
          </w:tcPr>
          <w:p w14:paraId="43B82926" w14:textId="77777777" w:rsidR="00EE18AE" w:rsidRDefault="00000000">
            <w:r>
              <w:rPr>
                <w:sz w:val="19"/>
                <w:szCs w:val="19"/>
              </w:rPr>
              <w:t>$0</w:t>
            </w:r>
          </w:p>
        </w:tc>
      </w:tr>
      <w:tr w:rsidR="00EE18AE" w14:paraId="0471D9F8" w14:textId="77777777">
        <w:tblPrEx>
          <w:tblCellMar>
            <w:top w:w="0" w:type="dxa"/>
            <w:bottom w:w="0" w:type="dxa"/>
          </w:tblCellMar>
        </w:tblPrEx>
        <w:tc>
          <w:tcPr>
            <w:tcW w:w="1500" w:type="dxa"/>
            <w:tcMar>
              <w:top w:w="60" w:type="dxa"/>
              <w:left w:w="100" w:type="dxa"/>
              <w:bottom w:w="60" w:type="dxa"/>
              <w:right w:w="100" w:type="dxa"/>
            </w:tcMar>
            <w:vAlign w:val="center"/>
          </w:tcPr>
          <w:p w14:paraId="68D76D54" w14:textId="77777777" w:rsidR="00EE18AE" w:rsidRDefault="00000000">
            <w:r>
              <w:rPr>
                <w:sz w:val="19"/>
                <w:szCs w:val="19"/>
              </w:rPr>
              <w:t>Day 2, 10:15</w:t>
            </w:r>
          </w:p>
        </w:tc>
        <w:tc>
          <w:tcPr>
            <w:tcW w:w="1250" w:type="dxa"/>
            <w:tcMar>
              <w:top w:w="60" w:type="dxa"/>
              <w:left w:w="100" w:type="dxa"/>
              <w:bottom w:w="60" w:type="dxa"/>
              <w:right w:w="100" w:type="dxa"/>
            </w:tcMar>
            <w:vAlign w:val="center"/>
          </w:tcPr>
          <w:p w14:paraId="2B8A2468" w14:textId="77777777" w:rsidR="00EE18AE" w:rsidRDefault="00000000">
            <w:r>
              <w:rPr>
                <w:sz w:val="19"/>
                <w:szCs w:val="19"/>
              </w:rPr>
              <w:t>SELL 4</w:t>
            </w:r>
          </w:p>
        </w:tc>
        <w:tc>
          <w:tcPr>
            <w:tcW w:w="1250" w:type="dxa"/>
            <w:tcMar>
              <w:top w:w="60" w:type="dxa"/>
              <w:left w:w="100" w:type="dxa"/>
              <w:bottom w:w="60" w:type="dxa"/>
              <w:right w:w="100" w:type="dxa"/>
            </w:tcMar>
            <w:vAlign w:val="center"/>
          </w:tcPr>
          <w:p w14:paraId="6DA36B0B" w14:textId="77777777" w:rsidR="00EE18AE" w:rsidRDefault="00000000">
            <w:r>
              <w:rPr>
                <w:sz w:val="19"/>
                <w:szCs w:val="19"/>
              </w:rPr>
              <w:t>5,010.00</w:t>
            </w:r>
          </w:p>
        </w:tc>
        <w:tc>
          <w:tcPr>
            <w:tcW w:w="1600" w:type="dxa"/>
            <w:tcMar>
              <w:top w:w="60" w:type="dxa"/>
              <w:left w:w="100" w:type="dxa"/>
              <w:bottom w:w="60" w:type="dxa"/>
              <w:right w:w="100" w:type="dxa"/>
            </w:tcMar>
            <w:vAlign w:val="center"/>
          </w:tcPr>
          <w:p w14:paraId="314E66DB" w14:textId="77777777" w:rsidR="00EE18AE" w:rsidRDefault="00000000">
            <w:r>
              <w:rPr>
                <w:sz w:val="19"/>
                <w:szCs w:val="19"/>
              </w:rPr>
              <w:t>+1</w:t>
            </w:r>
          </w:p>
        </w:tc>
        <w:tc>
          <w:tcPr>
            <w:tcW w:w="1900" w:type="dxa"/>
            <w:tcMar>
              <w:top w:w="60" w:type="dxa"/>
              <w:left w:w="100" w:type="dxa"/>
              <w:bottom w:w="60" w:type="dxa"/>
              <w:right w:w="100" w:type="dxa"/>
            </w:tcMar>
            <w:vAlign w:val="center"/>
          </w:tcPr>
          <w:p w14:paraId="27CC9B94" w14:textId="77777777" w:rsidR="00EE18AE" w:rsidRDefault="00000000">
            <w:r>
              <w:rPr>
                <w:sz w:val="19"/>
                <w:szCs w:val="19"/>
              </w:rPr>
              <w:t>5,005.00</w:t>
            </w:r>
          </w:p>
        </w:tc>
        <w:tc>
          <w:tcPr>
            <w:tcW w:w="1660" w:type="dxa"/>
            <w:tcMar>
              <w:top w:w="60" w:type="dxa"/>
              <w:left w:w="100" w:type="dxa"/>
              <w:bottom w:w="60" w:type="dxa"/>
              <w:right w:w="100" w:type="dxa"/>
            </w:tcMar>
            <w:vAlign w:val="center"/>
          </w:tcPr>
          <w:p w14:paraId="6F794332" w14:textId="77777777" w:rsidR="00EE18AE" w:rsidRDefault="00000000">
            <w:r>
              <w:rPr>
                <w:sz w:val="19"/>
                <w:szCs w:val="19"/>
              </w:rPr>
              <w:t>+$1,750</w:t>
            </w:r>
          </w:p>
        </w:tc>
        <w:tc>
          <w:tcPr>
            <w:tcW w:w="1500" w:type="dxa"/>
            <w:tcMar>
              <w:top w:w="60" w:type="dxa"/>
              <w:left w:w="100" w:type="dxa"/>
              <w:bottom w:w="60" w:type="dxa"/>
              <w:right w:w="100" w:type="dxa"/>
            </w:tcMar>
            <w:vAlign w:val="center"/>
          </w:tcPr>
          <w:p w14:paraId="1A13CB7A" w14:textId="77777777" w:rsidR="00EE18AE" w:rsidRDefault="00000000">
            <w:r>
              <w:rPr>
                <w:sz w:val="19"/>
                <w:szCs w:val="19"/>
              </w:rPr>
              <w:t>+$1,750</w:t>
            </w:r>
          </w:p>
        </w:tc>
      </w:tr>
      <w:tr w:rsidR="00EE18AE" w14:paraId="6B0ECA9E" w14:textId="77777777">
        <w:tblPrEx>
          <w:tblCellMar>
            <w:top w:w="0" w:type="dxa"/>
            <w:bottom w:w="0" w:type="dxa"/>
          </w:tblCellMar>
        </w:tblPrEx>
        <w:tc>
          <w:tcPr>
            <w:tcW w:w="1500" w:type="dxa"/>
            <w:shd w:val="clear" w:color="auto" w:fill="F2F2F2"/>
            <w:tcMar>
              <w:top w:w="60" w:type="dxa"/>
              <w:left w:w="100" w:type="dxa"/>
              <w:bottom w:w="60" w:type="dxa"/>
              <w:right w:w="100" w:type="dxa"/>
            </w:tcMar>
            <w:vAlign w:val="center"/>
          </w:tcPr>
          <w:p w14:paraId="1EC3BFFC" w14:textId="77777777" w:rsidR="00EE18AE" w:rsidRDefault="00000000">
            <w:r>
              <w:rPr>
                <w:sz w:val="19"/>
                <w:szCs w:val="19"/>
              </w:rPr>
              <w:lastRenderedPageBreak/>
              <w:t>Day 2, 15:45</w:t>
            </w:r>
          </w:p>
        </w:tc>
        <w:tc>
          <w:tcPr>
            <w:tcW w:w="1250" w:type="dxa"/>
            <w:shd w:val="clear" w:color="auto" w:fill="F2F2F2"/>
            <w:tcMar>
              <w:top w:w="60" w:type="dxa"/>
              <w:left w:w="100" w:type="dxa"/>
              <w:bottom w:w="60" w:type="dxa"/>
              <w:right w:w="100" w:type="dxa"/>
            </w:tcMar>
            <w:vAlign w:val="center"/>
          </w:tcPr>
          <w:p w14:paraId="56A8E58F" w14:textId="77777777" w:rsidR="00EE18AE" w:rsidRDefault="00000000">
            <w:r>
              <w:rPr>
                <w:sz w:val="19"/>
                <w:szCs w:val="19"/>
              </w:rPr>
              <w:t>SELL 1</w:t>
            </w:r>
          </w:p>
        </w:tc>
        <w:tc>
          <w:tcPr>
            <w:tcW w:w="1250" w:type="dxa"/>
            <w:shd w:val="clear" w:color="auto" w:fill="F2F2F2"/>
            <w:tcMar>
              <w:top w:w="60" w:type="dxa"/>
              <w:left w:w="100" w:type="dxa"/>
              <w:bottom w:w="60" w:type="dxa"/>
              <w:right w:w="100" w:type="dxa"/>
            </w:tcMar>
            <w:vAlign w:val="center"/>
          </w:tcPr>
          <w:p w14:paraId="287B95F0" w14:textId="77777777" w:rsidR="00EE18AE" w:rsidRDefault="00000000">
            <w:r>
              <w:rPr>
                <w:sz w:val="19"/>
                <w:szCs w:val="19"/>
              </w:rPr>
              <w:t>4,995.00</w:t>
            </w:r>
          </w:p>
        </w:tc>
        <w:tc>
          <w:tcPr>
            <w:tcW w:w="1600" w:type="dxa"/>
            <w:shd w:val="clear" w:color="auto" w:fill="F2F2F2"/>
            <w:tcMar>
              <w:top w:w="60" w:type="dxa"/>
              <w:left w:w="100" w:type="dxa"/>
              <w:bottom w:w="60" w:type="dxa"/>
              <w:right w:w="100" w:type="dxa"/>
            </w:tcMar>
            <w:vAlign w:val="center"/>
          </w:tcPr>
          <w:p w14:paraId="2833DCC0" w14:textId="77777777" w:rsidR="00EE18AE" w:rsidRDefault="00000000">
            <w:r>
              <w:rPr>
                <w:sz w:val="19"/>
                <w:szCs w:val="19"/>
              </w:rPr>
              <w:t>0</w:t>
            </w:r>
          </w:p>
        </w:tc>
        <w:tc>
          <w:tcPr>
            <w:tcW w:w="1900" w:type="dxa"/>
            <w:shd w:val="clear" w:color="auto" w:fill="F2F2F2"/>
            <w:tcMar>
              <w:top w:w="60" w:type="dxa"/>
              <w:left w:w="100" w:type="dxa"/>
              <w:bottom w:w="60" w:type="dxa"/>
              <w:right w:w="100" w:type="dxa"/>
            </w:tcMar>
            <w:vAlign w:val="center"/>
          </w:tcPr>
          <w:p w14:paraId="68A86CF1" w14:textId="77777777" w:rsidR="00EE18AE" w:rsidRDefault="00000000">
            <w:r>
              <w:rPr>
                <w:sz w:val="19"/>
                <w:szCs w:val="19"/>
              </w:rPr>
              <w:t>—</w:t>
            </w:r>
          </w:p>
        </w:tc>
        <w:tc>
          <w:tcPr>
            <w:tcW w:w="1660" w:type="dxa"/>
            <w:shd w:val="clear" w:color="auto" w:fill="F2F2F2"/>
            <w:tcMar>
              <w:top w:w="60" w:type="dxa"/>
              <w:left w:w="100" w:type="dxa"/>
              <w:bottom w:w="60" w:type="dxa"/>
              <w:right w:w="100" w:type="dxa"/>
            </w:tcMar>
            <w:vAlign w:val="center"/>
          </w:tcPr>
          <w:p w14:paraId="2068466D" w14:textId="77777777" w:rsidR="00EE18AE" w:rsidRDefault="00000000">
            <w:r>
              <w:rPr>
                <w:sz w:val="19"/>
                <w:szCs w:val="19"/>
              </w:rPr>
              <w:t>−$500</w:t>
            </w:r>
          </w:p>
        </w:tc>
        <w:tc>
          <w:tcPr>
            <w:tcW w:w="1500" w:type="dxa"/>
            <w:shd w:val="clear" w:color="auto" w:fill="F2F2F2"/>
            <w:tcMar>
              <w:top w:w="60" w:type="dxa"/>
              <w:left w:w="100" w:type="dxa"/>
              <w:bottom w:w="60" w:type="dxa"/>
              <w:right w:w="100" w:type="dxa"/>
            </w:tcMar>
            <w:vAlign w:val="center"/>
          </w:tcPr>
          <w:p w14:paraId="5B627426" w14:textId="77777777" w:rsidR="00EE18AE" w:rsidRDefault="00000000">
            <w:r>
              <w:rPr>
                <w:sz w:val="19"/>
                <w:szCs w:val="19"/>
              </w:rPr>
              <w:t>+$1,250</w:t>
            </w:r>
          </w:p>
        </w:tc>
      </w:tr>
    </w:tbl>
    <w:p w14:paraId="317FF00F" w14:textId="77777777" w:rsidR="00EE18AE" w:rsidRDefault="00000000">
      <w:pPr>
        <w:spacing w:before="160" w:after="60"/>
      </w:pPr>
      <w:r>
        <w:rPr>
          <w:b/>
          <w:bCs/>
          <w:i/>
          <w:iCs/>
          <w:color w:val="2E5395"/>
          <w:sz w:val="22"/>
          <w:szCs w:val="22"/>
        </w:rPr>
        <w:t>How the realised P&amp;L figures are derived (FIFO)</w:t>
      </w:r>
    </w:p>
    <w:p w14:paraId="14292F11" w14:textId="77777777" w:rsidR="00EE18AE" w:rsidRDefault="00000000">
      <w:pPr>
        <w:pStyle w:val="ListParagraph"/>
        <w:numPr>
          <w:ilvl w:val="0"/>
          <w:numId w:val="2"/>
        </w:numPr>
        <w:spacing w:after="40"/>
      </w:pPr>
      <w:r>
        <w:rPr>
          <w:sz w:val="20"/>
          <w:szCs w:val="20"/>
        </w:rPr>
        <w:t>The 09:30 and 14:00 buys build a 5-contract long position: 3 contracts at 5,000.00 and 2 contracts at 5,005.00, for a size-weighted average cost of (3×5,000.00 + 2×5,005.00) / 5 = 5,002.00.</w:t>
      </w:r>
    </w:p>
    <w:p w14:paraId="0AFF5AD3" w14:textId="77777777" w:rsidR="00EE18AE" w:rsidRDefault="00000000">
      <w:pPr>
        <w:pStyle w:val="ListParagraph"/>
        <w:numPr>
          <w:ilvl w:val="0"/>
          <w:numId w:val="2"/>
        </w:numPr>
        <w:spacing w:after="40"/>
      </w:pPr>
      <w:r>
        <w:rPr>
          <w:sz w:val="20"/>
          <w:szCs w:val="20"/>
        </w:rPr>
        <w:t>The 10:15 sale of 4 contracts closes the position on a first-in-first-out basis: the 3 contracts from the first buy (cost 5,000.00) plus 1 contract from the second buy (cost 5,005.00).</w:t>
      </w:r>
    </w:p>
    <w:p w14:paraId="014BF43F" w14:textId="77777777" w:rsidR="00EE18AE" w:rsidRDefault="00000000">
      <w:pPr>
        <w:pStyle w:val="ListParagraph"/>
        <w:numPr>
          <w:ilvl w:val="0"/>
          <w:numId w:val="2"/>
        </w:numPr>
        <w:spacing w:after="40"/>
      </w:pPr>
      <w:r>
        <w:rPr>
          <w:sz w:val="20"/>
          <w:szCs w:val="20"/>
        </w:rPr>
        <w:t>Realised P&amp;L on that fill = [(5,010.00−5,000.00)×3 + (5,010.00−5,005.00)×1] × $50 = [10×3 + 5×1] × $50 = 35 × $50 = $1,750.</w:t>
      </w:r>
    </w:p>
    <w:p w14:paraId="59E5D313" w14:textId="77777777" w:rsidR="00EE18AE" w:rsidRDefault="00000000">
      <w:pPr>
        <w:pStyle w:val="ListParagraph"/>
        <w:numPr>
          <w:ilvl w:val="0"/>
          <w:numId w:val="2"/>
        </w:numPr>
        <w:spacing w:after="40"/>
      </w:pPr>
      <w:r>
        <w:rPr>
          <w:sz w:val="20"/>
          <w:szCs w:val="20"/>
        </w:rPr>
        <w:t>The 15:45 sale of the last contract (remaining cost basis 5,005.00) at 4,995.00 realises (4,995.00−5,005.00)×1×$50 = −$500.</w:t>
      </w:r>
    </w:p>
    <w:p w14:paraId="60DF76F6" w14:textId="77777777" w:rsidR="00EE18AE" w:rsidRDefault="00000000">
      <w:pPr>
        <w:pStyle w:val="ListParagraph"/>
        <w:numPr>
          <w:ilvl w:val="0"/>
          <w:numId w:val="2"/>
        </w:numPr>
        <w:spacing w:after="40"/>
      </w:pPr>
      <w:r>
        <w:rPr>
          <w:sz w:val="20"/>
          <w:szCs w:val="20"/>
        </w:rPr>
        <w:t>Total realised P&amp;L across the whole sequence: $1,750 − $500 = $1,250.</w:t>
      </w:r>
    </w:p>
    <w:p w14:paraId="77E3B8B8" w14:textId="77777777" w:rsidR="00EE18AE" w:rsidRDefault="00000000">
      <w:pPr>
        <w:spacing w:before="120" w:after="80"/>
        <w:jc w:val="center"/>
      </w:pPr>
      <w:r>
        <w:rPr>
          <w:noProof/>
        </w:rPr>
        <w:drawing>
          <wp:inline distT="0" distB="0" distL="0" distR="0" wp14:anchorId="2E19F291" wp14:editId="347B6723">
            <wp:extent cx="5486400" cy="5162550"/>
            <wp:effectExtent l="0" t="0" r="0" b="0"/>
            <wp:docPr id="2096391723" name="Picture 2096391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86400" cy="5162550"/>
                    </a:xfrm>
                    <a:prstGeom prst="rect">
                      <a:avLst/>
                    </a:prstGeom>
                  </pic:spPr>
                </pic:pic>
              </a:graphicData>
            </a:graphic>
          </wp:inline>
        </w:drawing>
      </w:r>
    </w:p>
    <w:p w14:paraId="7632669F" w14:textId="77777777" w:rsidR="00EE18AE" w:rsidRDefault="00000000">
      <w:pPr>
        <w:spacing w:after="200"/>
        <w:jc w:val="center"/>
      </w:pPr>
      <w:r>
        <w:rPr>
          <w:i/>
          <w:iCs/>
          <w:color w:val="595959"/>
          <w:sz w:val="17"/>
          <w:szCs w:val="17"/>
        </w:rPr>
        <w:t>Figure 3.1 — Top: the (illustrative, synthetic) intraday price path with each fill marked. Middle: net position size (left axis) against initial margin required (right axis) — note margin scales linearly with position size. Bottom: realised P&amp;L (step function, changes only on a closing fill) versus total P&amp;L (realised + mark-to-market unrealised), which fluctuates continuously with price while the position is open.</w:t>
      </w:r>
    </w:p>
    <w:p w14:paraId="0697E4AA" w14:textId="77777777" w:rsidR="00EE18AE" w:rsidRDefault="00000000">
      <w:pPr>
        <w:spacing w:before="160" w:after="60"/>
      </w:pPr>
      <w:r>
        <w:rPr>
          <w:b/>
          <w:bCs/>
          <w:i/>
          <w:iCs/>
          <w:color w:val="2E5395"/>
          <w:sz w:val="22"/>
          <w:szCs w:val="22"/>
        </w:rPr>
        <w:t>Notional exposure and margin usage over time</w:t>
      </w: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00"/>
        <w:gridCol w:w="2600"/>
        <w:gridCol w:w="2400"/>
        <w:gridCol w:w="1560"/>
      </w:tblGrid>
      <w:tr w:rsidR="00EE18AE" w14:paraId="08E511EA" w14:textId="77777777">
        <w:tblPrEx>
          <w:tblCellMar>
            <w:top w:w="0" w:type="dxa"/>
            <w:bottom w:w="0" w:type="dxa"/>
          </w:tblCellMar>
        </w:tblPrEx>
        <w:trPr>
          <w:tblHeader/>
        </w:trPr>
        <w:tc>
          <w:tcPr>
            <w:tcW w:w="2400" w:type="dxa"/>
            <w:shd w:val="clear" w:color="auto" w:fill="1F3864"/>
            <w:tcMar>
              <w:top w:w="60" w:type="dxa"/>
              <w:left w:w="100" w:type="dxa"/>
              <w:bottom w:w="60" w:type="dxa"/>
              <w:right w:w="100" w:type="dxa"/>
            </w:tcMar>
            <w:vAlign w:val="center"/>
          </w:tcPr>
          <w:p w14:paraId="0C2C0DD3" w14:textId="77777777" w:rsidR="00EE18AE" w:rsidRDefault="00000000">
            <w:r>
              <w:rPr>
                <w:b/>
                <w:bCs/>
                <w:color w:val="FFFFFF"/>
                <w:sz w:val="19"/>
                <w:szCs w:val="19"/>
              </w:rPr>
              <w:lastRenderedPageBreak/>
              <w:t>After Fill</w:t>
            </w:r>
          </w:p>
        </w:tc>
        <w:tc>
          <w:tcPr>
            <w:tcW w:w="1400" w:type="dxa"/>
            <w:shd w:val="clear" w:color="auto" w:fill="1F3864"/>
            <w:tcMar>
              <w:top w:w="60" w:type="dxa"/>
              <w:left w:w="100" w:type="dxa"/>
              <w:bottom w:w="60" w:type="dxa"/>
              <w:right w:w="100" w:type="dxa"/>
            </w:tcMar>
            <w:vAlign w:val="center"/>
          </w:tcPr>
          <w:p w14:paraId="111B16BF" w14:textId="77777777" w:rsidR="00EE18AE" w:rsidRDefault="00000000">
            <w:r>
              <w:rPr>
                <w:b/>
                <w:bCs/>
                <w:color w:val="FFFFFF"/>
                <w:sz w:val="19"/>
                <w:szCs w:val="19"/>
              </w:rPr>
              <w:t>Net Contracts</w:t>
            </w:r>
          </w:p>
        </w:tc>
        <w:tc>
          <w:tcPr>
            <w:tcW w:w="2600" w:type="dxa"/>
            <w:shd w:val="clear" w:color="auto" w:fill="1F3864"/>
            <w:tcMar>
              <w:top w:w="60" w:type="dxa"/>
              <w:left w:w="100" w:type="dxa"/>
              <w:bottom w:w="60" w:type="dxa"/>
              <w:right w:w="100" w:type="dxa"/>
            </w:tcMar>
            <w:vAlign w:val="center"/>
          </w:tcPr>
          <w:p w14:paraId="57444E9D" w14:textId="77777777" w:rsidR="00EE18AE" w:rsidRDefault="00000000">
            <w:r>
              <w:rPr>
                <w:b/>
                <w:bCs/>
                <w:color w:val="FFFFFF"/>
                <w:sz w:val="19"/>
                <w:szCs w:val="19"/>
              </w:rPr>
              <w:t>Notional Exposure (Contracts × $50 × Price)</w:t>
            </w:r>
          </w:p>
        </w:tc>
        <w:tc>
          <w:tcPr>
            <w:tcW w:w="2400" w:type="dxa"/>
            <w:shd w:val="clear" w:color="auto" w:fill="1F3864"/>
            <w:tcMar>
              <w:top w:w="60" w:type="dxa"/>
              <w:left w:w="100" w:type="dxa"/>
              <w:bottom w:w="60" w:type="dxa"/>
              <w:right w:w="100" w:type="dxa"/>
            </w:tcMar>
            <w:vAlign w:val="center"/>
          </w:tcPr>
          <w:p w14:paraId="7288C3D6" w14:textId="77777777" w:rsidR="00EE18AE" w:rsidRDefault="00000000">
            <w:r>
              <w:rPr>
                <w:b/>
                <w:bCs/>
                <w:color w:val="FFFFFF"/>
                <w:sz w:val="19"/>
                <w:szCs w:val="19"/>
              </w:rPr>
              <w:t>Initial Margin Required (Contracts × $13,200)</w:t>
            </w:r>
          </w:p>
        </w:tc>
        <w:tc>
          <w:tcPr>
            <w:tcW w:w="1560" w:type="dxa"/>
            <w:shd w:val="clear" w:color="auto" w:fill="1F3864"/>
            <w:tcMar>
              <w:top w:w="60" w:type="dxa"/>
              <w:left w:w="100" w:type="dxa"/>
              <w:bottom w:w="60" w:type="dxa"/>
              <w:right w:w="100" w:type="dxa"/>
            </w:tcMar>
            <w:vAlign w:val="center"/>
          </w:tcPr>
          <w:p w14:paraId="03CDCAAD" w14:textId="77777777" w:rsidR="00EE18AE" w:rsidRDefault="00000000">
            <w:r>
              <w:rPr>
                <w:b/>
                <w:bCs/>
                <w:color w:val="FFFFFF"/>
                <w:sz w:val="19"/>
                <w:szCs w:val="19"/>
              </w:rPr>
              <w:t>Effective Leverage (Notional / Margin)</w:t>
            </w:r>
          </w:p>
        </w:tc>
      </w:tr>
      <w:tr w:rsidR="00EE18AE" w14:paraId="760ED27A" w14:textId="77777777">
        <w:tblPrEx>
          <w:tblCellMar>
            <w:top w:w="0" w:type="dxa"/>
            <w:bottom w:w="0" w:type="dxa"/>
          </w:tblCellMar>
        </w:tblPrEx>
        <w:tc>
          <w:tcPr>
            <w:tcW w:w="2400" w:type="dxa"/>
            <w:tcMar>
              <w:top w:w="60" w:type="dxa"/>
              <w:left w:w="100" w:type="dxa"/>
              <w:bottom w:w="60" w:type="dxa"/>
              <w:right w:w="100" w:type="dxa"/>
            </w:tcMar>
            <w:vAlign w:val="center"/>
          </w:tcPr>
          <w:p w14:paraId="56ECE0EC" w14:textId="77777777" w:rsidR="00EE18AE" w:rsidRDefault="00000000">
            <w:r>
              <w:rPr>
                <w:sz w:val="19"/>
                <w:szCs w:val="19"/>
              </w:rPr>
              <w:t>BUY 3 @ 5,000.00</w:t>
            </w:r>
          </w:p>
        </w:tc>
        <w:tc>
          <w:tcPr>
            <w:tcW w:w="1400" w:type="dxa"/>
            <w:tcMar>
              <w:top w:w="60" w:type="dxa"/>
              <w:left w:w="100" w:type="dxa"/>
              <w:bottom w:w="60" w:type="dxa"/>
              <w:right w:w="100" w:type="dxa"/>
            </w:tcMar>
            <w:vAlign w:val="center"/>
          </w:tcPr>
          <w:p w14:paraId="587DB04C" w14:textId="77777777" w:rsidR="00EE18AE" w:rsidRDefault="00000000">
            <w:r>
              <w:rPr>
                <w:sz w:val="19"/>
                <w:szCs w:val="19"/>
              </w:rPr>
              <w:t>3</w:t>
            </w:r>
          </w:p>
        </w:tc>
        <w:tc>
          <w:tcPr>
            <w:tcW w:w="2600" w:type="dxa"/>
            <w:tcMar>
              <w:top w:w="60" w:type="dxa"/>
              <w:left w:w="100" w:type="dxa"/>
              <w:bottom w:w="60" w:type="dxa"/>
              <w:right w:w="100" w:type="dxa"/>
            </w:tcMar>
            <w:vAlign w:val="center"/>
          </w:tcPr>
          <w:p w14:paraId="68E14965" w14:textId="77777777" w:rsidR="00EE18AE" w:rsidRDefault="00000000">
            <w:r>
              <w:rPr>
                <w:sz w:val="19"/>
                <w:szCs w:val="19"/>
              </w:rPr>
              <w:t>$750,000</w:t>
            </w:r>
          </w:p>
        </w:tc>
        <w:tc>
          <w:tcPr>
            <w:tcW w:w="2400" w:type="dxa"/>
            <w:tcMar>
              <w:top w:w="60" w:type="dxa"/>
              <w:left w:w="100" w:type="dxa"/>
              <w:bottom w:w="60" w:type="dxa"/>
              <w:right w:w="100" w:type="dxa"/>
            </w:tcMar>
            <w:vAlign w:val="center"/>
          </w:tcPr>
          <w:p w14:paraId="25C99636" w14:textId="77777777" w:rsidR="00EE18AE" w:rsidRDefault="00000000">
            <w:r>
              <w:rPr>
                <w:sz w:val="19"/>
                <w:szCs w:val="19"/>
              </w:rPr>
              <w:t>$39,600</w:t>
            </w:r>
          </w:p>
        </w:tc>
        <w:tc>
          <w:tcPr>
            <w:tcW w:w="1560" w:type="dxa"/>
            <w:tcMar>
              <w:top w:w="60" w:type="dxa"/>
              <w:left w:w="100" w:type="dxa"/>
              <w:bottom w:w="60" w:type="dxa"/>
              <w:right w:w="100" w:type="dxa"/>
            </w:tcMar>
            <w:vAlign w:val="center"/>
          </w:tcPr>
          <w:p w14:paraId="41946C62" w14:textId="77777777" w:rsidR="00EE18AE" w:rsidRDefault="00000000">
            <w:r>
              <w:rPr>
                <w:sz w:val="19"/>
                <w:szCs w:val="19"/>
              </w:rPr>
              <w:t>18.9 : 1</w:t>
            </w:r>
          </w:p>
        </w:tc>
      </w:tr>
      <w:tr w:rsidR="00EE18AE" w14:paraId="7B829B19" w14:textId="77777777">
        <w:tblPrEx>
          <w:tblCellMar>
            <w:top w:w="0" w:type="dxa"/>
            <w:bottom w:w="0" w:type="dxa"/>
          </w:tblCellMar>
        </w:tblPrEx>
        <w:tc>
          <w:tcPr>
            <w:tcW w:w="2400" w:type="dxa"/>
            <w:shd w:val="clear" w:color="auto" w:fill="F2F2F2"/>
            <w:tcMar>
              <w:top w:w="60" w:type="dxa"/>
              <w:left w:w="100" w:type="dxa"/>
              <w:bottom w:w="60" w:type="dxa"/>
              <w:right w:w="100" w:type="dxa"/>
            </w:tcMar>
            <w:vAlign w:val="center"/>
          </w:tcPr>
          <w:p w14:paraId="31AD7B39" w14:textId="77777777" w:rsidR="00EE18AE" w:rsidRDefault="00000000">
            <w:r>
              <w:rPr>
                <w:sz w:val="19"/>
                <w:szCs w:val="19"/>
              </w:rPr>
              <w:t>BUY 2 @ 5,005.00</w:t>
            </w:r>
          </w:p>
        </w:tc>
        <w:tc>
          <w:tcPr>
            <w:tcW w:w="1400" w:type="dxa"/>
            <w:shd w:val="clear" w:color="auto" w:fill="F2F2F2"/>
            <w:tcMar>
              <w:top w:w="60" w:type="dxa"/>
              <w:left w:w="100" w:type="dxa"/>
              <w:bottom w:w="60" w:type="dxa"/>
              <w:right w:w="100" w:type="dxa"/>
            </w:tcMar>
            <w:vAlign w:val="center"/>
          </w:tcPr>
          <w:p w14:paraId="675CF892" w14:textId="77777777" w:rsidR="00EE18AE" w:rsidRDefault="00000000">
            <w:r>
              <w:rPr>
                <w:sz w:val="19"/>
                <w:szCs w:val="19"/>
              </w:rPr>
              <w:t>5</w:t>
            </w:r>
          </w:p>
        </w:tc>
        <w:tc>
          <w:tcPr>
            <w:tcW w:w="2600" w:type="dxa"/>
            <w:shd w:val="clear" w:color="auto" w:fill="F2F2F2"/>
            <w:tcMar>
              <w:top w:w="60" w:type="dxa"/>
              <w:left w:w="100" w:type="dxa"/>
              <w:bottom w:w="60" w:type="dxa"/>
              <w:right w:w="100" w:type="dxa"/>
            </w:tcMar>
            <w:vAlign w:val="center"/>
          </w:tcPr>
          <w:p w14:paraId="74B8E216" w14:textId="77777777" w:rsidR="00EE18AE" w:rsidRDefault="00000000">
            <w:r>
              <w:rPr>
                <w:sz w:val="19"/>
                <w:szCs w:val="19"/>
              </w:rPr>
              <w:t>$1,251,250</w:t>
            </w:r>
          </w:p>
        </w:tc>
        <w:tc>
          <w:tcPr>
            <w:tcW w:w="2400" w:type="dxa"/>
            <w:shd w:val="clear" w:color="auto" w:fill="F2F2F2"/>
            <w:tcMar>
              <w:top w:w="60" w:type="dxa"/>
              <w:left w:w="100" w:type="dxa"/>
              <w:bottom w:w="60" w:type="dxa"/>
              <w:right w:w="100" w:type="dxa"/>
            </w:tcMar>
            <w:vAlign w:val="center"/>
          </w:tcPr>
          <w:p w14:paraId="73C65927" w14:textId="77777777" w:rsidR="00EE18AE" w:rsidRDefault="00000000">
            <w:r>
              <w:rPr>
                <w:sz w:val="19"/>
                <w:szCs w:val="19"/>
              </w:rPr>
              <w:t>$66,000</w:t>
            </w:r>
          </w:p>
        </w:tc>
        <w:tc>
          <w:tcPr>
            <w:tcW w:w="1560" w:type="dxa"/>
            <w:shd w:val="clear" w:color="auto" w:fill="F2F2F2"/>
            <w:tcMar>
              <w:top w:w="60" w:type="dxa"/>
              <w:left w:w="100" w:type="dxa"/>
              <w:bottom w:w="60" w:type="dxa"/>
              <w:right w:w="100" w:type="dxa"/>
            </w:tcMar>
            <w:vAlign w:val="center"/>
          </w:tcPr>
          <w:p w14:paraId="1B57346B" w14:textId="77777777" w:rsidR="00EE18AE" w:rsidRDefault="00000000">
            <w:r>
              <w:rPr>
                <w:sz w:val="19"/>
                <w:szCs w:val="19"/>
              </w:rPr>
              <w:t>19.0 : 1</w:t>
            </w:r>
          </w:p>
        </w:tc>
      </w:tr>
      <w:tr w:rsidR="00EE18AE" w14:paraId="706D761F" w14:textId="77777777">
        <w:tblPrEx>
          <w:tblCellMar>
            <w:top w:w="0" w:type="dxa"/>
            <w:bottom w:w="0" w:type="dxa"/>
          </w:tblCellMar>
        </w:tblPrEx>
        <w:tc>
          <w:tcPr>
            <w:tcW w:w="2400" w:type="dxa"/>
            <w:tcMar>
              <w:top w:w="60" w:type="dxa"/>
              <w:left w:w="100" w:type="dxa"/>
              <w:bottom w:w="60" w:type="dxa"/>
              <w:right w:w="100" w:type="dxa"/>
            </w:tcMar>
            <w:vAlign w:val="center"/>
          </w:tcPr>
          <w:p w14:paraId="5C85110E" w14:textId="77777777" w:rsidR="00EE18AE" w:rsidRDefault="00000000">
            <w:r>
              <w:rPr>
                <w:sz w:val="19"/>
                <w:szCs w:val="19"/>
              </w:rPr>
              <w:t>SELL 4 @ 5,010.00</w:t>
            </w:r>
          </w:p>
        </w:tc>
        <w:tc>
          <w:tcPr>
            <w:tcW w:w="1400" w:type="dxa"/>
            <w:tcMar>
              <w:top w:w="60" w:type="dxa"/>
              <w:left w:w="100" w:type="dxa"/>
              <w:bottom w:w="60" w:type="dxa"/>
              <w:right w:w="100" w:type="dxa"/>
            </w:tcMar>
            <w:vAlign w:val="center"/>
          </w:tcPr>
          <w:p w14:paraId="77EC3367" w14:textId="77777777" w:rsidR="00EE18AE" w:rsidRDefault="00000000">
            <w:r>
              <w:rPr>
                <w:sz w:val="19"/>
                <w:szCs w:val="19"/>
              </w:rPr>
              <w:t>1</w:t>
            </w:r>
          </w:p>
        </w:tc>
        <w:tc>
          <w:tcPr>
            <w:tcW w:w="2600" w:type="dxa"/>
            <w:tcMar>
              <w:top w:w="60" w:type="dxa"/>
              <w:left w:w="100" w:type="dxa"/>
              <w:bottom w:w="60" w:type="dxa"/>
              <w:right w:w="100" w:type="dxa"/>
            </w:tcMar>
            <w:vAlign w:val="center"/>
          </w:tcPr>
          <w:p w14:paraId="3B7CF725" w14:textId="77777777" w:rsidR="00EE18AE" w:rsidRDefault="00000000">
            <w:r>
              <w:rPr>
                <w:sz w:val="19"/>
                <w:szCs w:val="19"/>
              </w:rPr>
              <w:t>$250,500</w:t>
            </w:r>
          </w:p>
        </w:tc>
        <w:tc>
          <w:tcPr>
            <w:tcW w:w="2400" w:type="dxa"/>
            <w:tcMar>
              <w:top w:w="60" w:type="dxa"/>
              <w:left w:w="100" w:type="dxa"/>
              <w:bottom w:w="60" w:type="dxa"/>
              <w:right w:w="100" w:type="dxa"/>
            </w:tcMar>
            <w:vAlign w:val="center"/>
          </w:tcPr>
          <w:p w14:paraId="44222287" w14:textId="77777777" w:rsidR="00EE18AE" w:rsidRDefault="00000000">
            <w:r>
              <w:rPr>
                <w:sz w:val="19"/>
                <w:szCs w:val="19"/>
              </w:rPr>
              <w:t>$13,200</w:t>
            </w:r>
          </w:p>
        </w:tc>
        <w:tc>
          <w:tcPr>
            <w:tcW w:w="1560" w:type="dxa"/>
            <w:tcMar>
              <w:top w:w="60" w:type="dxa"/>
              <w:left w:w="100" w:type="dxa"/>
              <w:bottom w:w="60" w:type="dxa"/>
              <w:right w:w="100" w:type="dxa"/>
            </w:tcMar>
            <w:vAlign w:val="center"/>
          </w:tcPr>
          <w:p w14:paraId="6C9377F2" w14:textId="77777777" w:rsidR="00EE18AE" w:rsidRDefault="00000000">
            <w:r>
              <w:rPr>
                <w:sz w:val="19"/>
                <w:szCs w:val="19"/>
              </w:rPr>
              <w:t>19.0 : 1</w:t>
            </w:r>
          </w:p>
        </w:tc>
      </w:tr>
      <w:tr w:rsidR="00EE18AE" w14:paraId="2DAFD9EB" w14:textId="77777777">
        <w:tblPrEx>
          <w:tblCellMar>
            <w:top w:w="0" w:type="dxa"/>
            <w:bottom w:w="0" w:type="dxa"/>
          </w:tblCellMar>
        </w:tblPrEx>
        <w:tc>
          <w:tcPr>
            <w:tcW w:w="2400" w:type="dxa"/>
            <w:shd w:val="clear" w:color="auto" w:fill="F2F2F2"/>
            <w:tcMar>
              <w:top w:w="60" w:type="dxa"/>
              <w:left w:w="100" w:type="dxa"/>
              <w:bottom w:w="60" w:type="dxa"/>
              <w:right w:w="100" w:type="dxa"/>
            </w:tcMar>
            <w:vAlign w:val="center"/>
          </w:tcPr>
          <w:p w14:paraId="3259832A" w14:textId="77777777" w:rsidR="00EE18AE" w:rsidRDefault="00000000">
            <w:r>
              <w:rPr>
                <w:sz w:val="19"/>
                <w:szCs w:val="19"/>
              </w:rPr>
              <w:t>SELL 1 @ 4,995.00</w:t>
            </w:r>
          </w:p>
        </w:tc>
        <w:tc>
          <w:tcPr>
            <w:tcW w:w="1400" w:type="dxa"/>
            <w:shd w:val="clear" w:color="auto" w:fill="F2F2F2"/>
            <w:tcMar>
              <w:top w:w="60" w:type="dxa"/>
              <w:left w:w="100" w:type="dxa"/>
              <w:bottom w:w="60" w:type="dxa"/>
              <w:right w:w="100" w:type="dxa"/>
            </w:tcMar>
            <w:vAlign w:val="center"/>
          </w:tcPr>
          <w:p w14:paraId="2F09BE7F" w14:textId="77777777" w:rsidR="00EE18AE" w:rsidRDefault="00000000">
            <w:r>
              <w:rPr>
                <w:sz w:val="19"/>
                <w:szCs w:val="19"/>
              </w:rPr>
              <w:t>0</w:t>
            </w:r>
          </w:p>
        </w:tc>
        <w:tc>
          <w:tcPr>
            <w:tcW w:w="2600" w:type="dxa"/>
            <w:shd w:val="clear" w:color="auto" w:fill="F2F2F2"/>
            <w:tcMar>
              <w:top w:w="60" w:type="dxa"/>
              <w:left w:w="100" w:type="dxa"/>
              <w:bottom w:w="60" w:type="dxa"/>
              <w:right w:w="100" w:type="dxa"/>
            </w:tcMar>
            <w:vAlign w:val="center"/>
          </w:tcPr>
          <w:p w14:paraId="23DDD89E" w14:textId="77777777" w:rsidR="00EE18AE" w:rsidRDefault="00000000">
            <w:r>
              <w:rPr>
                <w:sz w:val="19"/>
                <w:szCs w:val="19"/>
              </w:rPr>
              <w:t>$0</w:t>
            </w:r>
          </w:p>
        </w:tc>
        <w:tc>
          <w:tcPr>
            <w:tcW w:w="2400" w:type="dxa"/>
            <w:shd w:val="clear" w:color="auto" w:fill="F2F2F2"/>
            <w:tcMar>
              <w:top w:w="60" w:type="dxa"/>
              <w:left w:w="100" w:type="dxa"/>
              <w:bottom w:w="60" w:type="dxa"/>
              <w:right w:w="100" w:type="dxa"/>
            </w:tcMar>
            <w:vAlign w:val="center"/>
          </w:tcPr>
          <w:p w14:paraId="10CBEE02" w14:textId="77777777" w:rsidR="00EE18AE" w:rsidRDefault="00000000">
            <w:r>
              <w:rPr>
                <w:sz w:val="19"/>
                <w:szCs w:val="19"/>
              </w:rPr>
              <w:t>$0</w:t>
            </w:r>
          </w:p>
        </w:tc>
        <w:tc>
          <w:tcPr>
            <w:tcW w:w="1560" w:type="dxa"/>
            <w:shd w:val="clear" w:color="auto" w:fill="F2F2F2"/>
            <w:tcMar>
              <w:top w:w="60" w:type="dxa"/>
              <w:left w:w="100" w:type="dxa"/>
              <w:bottom w:w="60" w:type="dxa"/>
              <w:right w:w="100" w:type="dxa"/>
            </w:tcMar>
            <w:vAlign w:val="center"/>
          </w:tcPr>
          <w:p w14:paraId="7A767693" w14:textId="77777777" w:rsidR="00EE18AE" w:rsidRDefault="00000000">
            <w:r>
              <w:rPr>
                <w:sz w:val="19"/>
                <w:szCs w:val="19"/>
              </w:rPr>
              <w:t>—</w:t>
            </w:r>
          </w:p>
        </w:tc>
      </w:tr>
    </w:tbl>
    <w:p w14:paraId="4E47D13B" w14:textId="77777777" w:rsidR="00EE18AE" w:rsidRDefault="00000000">
      <w:pPr>
        <w:pBdr>
          <w:left w:val="single" w:sz="24" w:space="8" w:color="C0392B"/>
        </w:pBdr>
        <w:shd w:val="clear" w:color="auto" w:fill="FCECEC"/>
        <w:spacing w:before="120" w:after="40"/>
      </w:pPr>
      <w:r>
        <w:rPr>
          <w:b/>
          <w:bCs/>
          <w:color w:val="C0392B"/>
          <w:sz w:val="20"/>
          <w:szCs w:val="20"/>
        </w:rPr>
        <w:t>⚠  This is exactly the notional-vs-capital-at-risk mistake the exercise is designed to expose</w:t>
      </w:r>
    </w:p>
    <w:p w14:paraId="34329B80" w14:textId="77777777" w:rsidR="00EE18AE" w:rsidRDefault="00000000">
      <w:pPr>
        <w:pStyle w:val="ListParagraph"/>
        <w:numPr>
          <w:ilvl w:val="0"/>
          <w:numId w:val="2"/>
        </w:numPr>
        <w:pBdr>
          <w:left w:val="single" w:sz="24" w:space="8" w:color="C0392B"/>
        </w:pBdr>
        <w:shd w:val="clear" w:color="auto" w:fill="FCECEC"/>
        <w:spacing w:after="40"/>
      </w:pPr>
      <w:r>
        <w:rPr>
          <w:sz w:val="20"/>
          <w:szCs w:val="20"/>
        </w:rPr>
        <w:t>At its peak, this position controlled $1,251,250 of index exposure while only $66,000 of capital (margin) was posted — roughly 19x leverage.</w:t>
      </w:r>
    </w:p>
    <w:p w14:paraId="148459E4" w14:textId="77777777" w:rsidR="00EE18AE" w:rsidRDefault="00000000">
      <w:pPr>
        <w:pStyle w:val="ListParagraph"/>
        <w:numPr>
          <w:ilvl w:val="0"/>
          <w:numId w:val="2"/>
        </w:numPr>
        <w:pBdr>
          <w:left w:val="single" w:sz="24" w:space="8" w:color="C0392B"/>
        </w:pBdr>
        <w:shd w:val="clear" w:color="auto" w:fill="FCECEC"/>
        <w:spacing w:after="40"/>
      </w:pPr>
      <w:r>
        <w:rPr>
          <w:sz w:val="20"/>
          <w:szCs w:val="20"/>
        </w:rPr>
        <w:t>A beginner who reasons about “how much money is at risk” using the $66,000 margin figure alone is still exposed to the full $1,251,250 notional move — a 1% adverse move in the index (about 50 points) would cost 5 × 50 × $50 = $12,500, which is 19% of the posted margin, not 1%.</w:t>
      </w:r>
    </w:p>
    <w:p w14:paraId="347931E2" w14:textId="77777777" w:rsidR="00EE18AE" w:rsidRDefault="00EE18AE">
      <w:pPr>
        <w:spacing w:after="80"/>
      </w:pPr>
    </w:p>
    <w:p w14:paraId="287B6B77" w14:textId="77777777" w:rsidR="00EE18AE" w:rsidRDefault="00000000">
      <w:pPr>
        <w:pStyle w:val="Heading2"/>
        <w:spacing w:before="260"/>
      </w:pPr>
      <w:bookmarkStart w:id="27" w:name="_Toc239542922"/>
      <w:r>
        <w:t>3.4 Leverage and Margin Across Products</w:t>
      </w:r>
      <w:bookmarkEnd w:id="27"/>
    </w:p>
    <w:p w14:paraId="21D68F32" w14:textId="77777777" w:rsidR="00EE18AE" w:rsidRDefault="00000000">
      <w:pPr>
        <w:spacing w:after="120"/>
      </w:pPr>
      <w:r>
        <w:t>The 19:1 leverage in the worked example above is specific to this one instrument and margin level — leverage available to a trader varies enormously by product, jurisdiction and regulatory regime.</w:t>
      </w:r>
    </w:p>
    <w:p w14:paraId="3F403845" w14:textId="77777777" w:rsidR="00EE18AE" w:rsidRDefault="00000000">
      <w:pPr>
        <w:spacing w:before="120" w:after="80"/>
        <w:jc w:val="center"/>
      </w:pPr>
      <w:r>
        <w:rPr>
          <w:noProof/>
        </w:rPr>
        <w:drawing>
          <wp:inline distT="0" distB="0" distL="0" distR="0" wp14:anchorId="7D3087F9" wp14:editId="49DD48A1">
            <wp:extent cx="5762625" cy="2714625"/>
            <wp:effectExtent l="0" t="0" r="0" b="0"/>
            <wp:docPr id="1119380792" name="Picture 1119380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62625" cy="2714625"/>
                    </a:xfrm>
                    <a:prstGeom prst="rect">
                      <a:avLst/>
                    </a:prstGeom>
                  </pic:spPr>
                </pic:pic>
              </a:graphicData>
            </a:graphic>
          </wp:inline>
        </w:drawing>
      </w:r>
    </w:p>
    <w:p w14:paraId="1DBB975E" w14:textId="77777777" w:rsidR="00EE18AE" w:rsidRDefault="00000000">
      <w:pPr>
        <w:spacing w:after="200"/>
        <w:jc w:val="center"/>
      </w:pPr>
      <w:r>
        <w:rPr>
          <w:i/>
          <w:iCs/>
          <w:color w:val="595959"/>
          <w:sz w:val="17"/>
          <w:szCs w:val="17"/>
        </w:rPr>
        <w:t>Figure 3.2 — Illustrative typical/maximum leverage by product. Regulatory caps (ESMA for EU retail FX, CFTC for US retail FX) exist specifically because higher leverage mechanically amplifies both gains and losses relative to capital posted.</w:t>
      </w:r>
    </w:p>
    <w:p w14:paraId="40AAC4FE" w14:textId="77777777" w:rsidR="00EE18AE" w:rsidRDefault="00000000">
      <w:pPr>
        <w:spacing w:before="160" w:after="60"/>
      </w:pPr>
      <w:r>
        <w:rPr>
          <w:b/>
          <w:bCs/>
          <w:i/>
          <w:iCs/>
          <w:color w:val="2E5395"/>
          <w:sz w:val="22"/>
          <w:szCs w:val="22"/>
        </w:rPr>
        <w:t>Margin call mechanics — worked example</w:t>
      </w:r>
    </w:p>
    <w:p w14:paraId="725427ED" w14:textId="77777777" w:rsidR="00EE18AE" w:rsidRDefault="00000000">
      <w:pPr>
        <w:spacing w:after="120"/>
      </w:pPr>
      <w:r>
        <w:t>Suppose maintenance margin on the 5-contract ES position above is set at $12,000/contract ($60,000 total), and the account's cash equity is exactly the $66,000 initial margin with no additional buffer.</w:t>
      </w:r>
    </w:p>
    <w:p w14:paraId="218C9F44" w14:textId="77777777" w:rsidR="00EE18AE" w:rsidRDefault="00000000">
      <w:pPr>
        <w:pStyle w:val="ListParagraph"/>
        <w:numPr>
          <w:ilvl w:val="0"/>
          <w:numId w:val="2"/>
        </w:numPr>
        <w:spacing w:after="40"/>
      </w:pPr>
      <w:r>
        <w:rPr>
          <w:sz w:val="20"/>
          <w:szCs w:val="20"/>
        </w:rPr>
        <w:t>The position loses money as price falls from the 5,002.00 average entry. Each 1-point decline costs 5 × $50 = $250 of unrealised P&amp;L.</w:t>
      </w:r>
    </w:p>
    <w:p w14:paraId="2AC6CA66" w14:textId="77777777" w:rsidR="00EE18AE" w:rsidRDefault="00000000">
      <w:pPr>
        <w:pStyle w:val="ListParagraph"/>
        <w:numPr>
          <w:ilvl w:val="0"/>
          <w:numId w:val="2"/>
        </w:numPr>
        <w:spacing w:after="40"/>
      </w:pPr>
      <w:r>
        <w:rPr>
          <w:sz w:val="20"/>
          <w:szCs w:val="20"/>
        </w:rPr>
        <w:t>Equity falls below the $60,000 maintenance threshold once cumulative losses exceed $6,000 — i.e. after a decline of $6,000 / $250 per point ≈ 24 points, taking the price to roughly 4,978.00.</w:t>
      </w:r>
    </w:p>
    <w:p w14:paraId="274F649A" w14:textId="77777777" w:rsidR="00EE18AE" w:rsidRDefault="00000000">
      <w:pPr>
        <w:pStyle w:val="ListParagraph"/>
        <w:numPr>
          <w:ilvl w:val="0"/>
          <w:numId w:val="2"/>
        </w:numPr>
        <w:spacing w:after="40"/>
      </w:pPr>
      <w:r>
        <w:rPr>
          <w:sz w:val="20"/>
          <w:szCs w:val="20"/>
        </w:rPr>
        <w:t>At that point the broker issues a margin call: the trader must deposit additional funds (or the broker may liquidate part or all of the position) to bring equity back above the initial margin requirement — this is a mechanical, not discretionary, process.</w:t>
      </w:r>
    </w:p>
    <w:p w14:paraId="2BD32E9B" w14:textId="77777777" w:rsidR="00EE18AE" w:rsidRDefault="00000000">
      <w:pPr>
        <w:pStyle w:val="Heading2"/>
        <w:spacing w:before="260"/>
      </w:pPr>
      <w:bookmarkStart w:id="28" w:name="_Toc239542923"/>
      <w:r>
        <w:lastRenderedPageBreak/>
        <w:t>3.5 The Bid-Ask Spread: The Cost Beginners Forget</w:t>
      </w:r>
      <w:bookmarkEnd w:id="28"/>
    </w:p>
    <w:p w14:paraId="5FAFAECC" w14:textId="77777777" w:rsidR="00EE18AE" w:rsidRDefault="00000000">
      <w:pPr>
        <w:spacing w:after="120"/>
      </w:pPr>
      <w:r>
        <w:t xml:space="preserve">A theoretical </w:t>
      </w:r>
      <w:proofErr w:type="spellStart"/>
      <w:r>
        <w:t>backtest</w:t>
      </w:r>
      <w:proofErr w:type="spellEnd"/>
      <w:r>
        <w:t xml:space="preserve"> that transacts at the mid-price is silently assuming zero transaction cost on every trade — in reality, a market order crosses the spread, paying the ask to buy and receiving the bid to sell.</w:t>
      </w:r>
    </w:p>
    <w:p w14:paraId="71D1B4AE" w14:textId="77777777" w:rsidR="00EE18AE" w:rsidRDefault="00000000">
      <w:pPr>
        <w:spacing w:before="120" w:after="80"/>
        <w:jc w:val="center"/>
      </w:pPr>
      <w:r>
        <w:rPr>
          <w:noProof/>
        </w:rPr>
        <w:drawing>
          <wp:inline distT="0" distB="0" distL="0" distR="0" wp14:anchorId="493814FD" wp14:editId="078A1936">
            <wp:extent cx="5762625" cy="2905125"/>
            <wp:effectExtent l="0" t="0" r="0" b="0"/>
            <wp:docPr id="754545142" name="Picture 754545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2625" cy="2905125"/>
                    </a:xfrm>
                    <a:prstGeom prst="rect">
                      <a:avLst/>
                    </a:prstGeom>
                  </pic:spPr>
                </pic:pic>
              </a:graphicData>
            </a:graphic>
          </wp:inline>
        </w:drawing>
      </w:r>
    </w:p>
    <w:p w14:paraId="150D589F" w14:textId="77777777" w:rsidR="00EE18AE" w:rsidRDefault="00000000">
      <w:pPr>
        <w:spacing w:after="200"/>
        <w:jc w:val="center"/>
      </w:pPr>
      <w:r>
        <w:rPr>
          <w:i/>
          <w:iCs/>
          <w:color w:val="595959"/>
          <w:sz w:val="17"/>
          <w:szCs w:val="17"/>
        </w:rPr>
        <w:t>Figure 3.3 — Illustrative typical bid-ask spread ranges. Note the vertical axis spans nearly two orders of magnitude — a strategy's edge that comfortably clears FX-level spread costs may be completely erased by small-cap-equity-level spread costs.</w:t>
      </w:r>
    </w:p>
    <w:p w14:paraId="3C0D8455" w14:textId="77777777" w:rsidR="00EE18AE" w:rsidRDefault="00000000">
      <w:pPr>
        <w:spacing w:before="120" w:after="80"/>
        <w:jc w:val="center"/>
      </w:pPr>
      <w:r>
        <w:rPr>
          <w:noProof/>
        </w:rPr>
        <w:drawing>
          <wp:inline distT="0" distB="0" distL="0" distR="0" wp14:anchorId="57F5E44A" wp14:editId="0F43C327">
            <wp:extent cx="5762625" cy="2724150"/>
            <wp:effectExtent l="0" t="0" r="0" b="0"/>
            <wp:docPr id="111982854" name="Picture 111982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2625" cy="2724150"/>
                    </a:xfrm>
                    <a:prstGeom prst="rect">
                      <a:avLst/>
                    </a:prstGeom>
                  </pic:spPr>
                </pic:pic>
              </a:graphicData>
            </a:graphic>
          </wp:inline>
        </w:drawing>
      </w:r>
    </w:p>
    <w:p w14:paraId="6D9A9009" w14:textId="77777777" w:rsidR="00EE18AE" w:rsidRDefault="00000000">
      <w:pPr>
        <w:spacing w:after="200"/>
        <w:jc w:val="center"/>
      </w:pPr>
      <w:r>
        <w:rPr>
          <w:i/>
          <w:iCs/>
          <w:color w:val="595959"/>
          <w:sz w:val="17"/>
          <w:szCs w:val="17"/>
        </w:rPr>
        <w:t>Figure 3.4 — Cumulative cost of crossing the spread compounds directly with trading frequency. A strategy trading small-cap equities 250 times (round trips) with a 15bp spread has paid away roughly 3.75% of notional in spread cost alone — before commissions or market impact.</w:t>
      </w:r>
    </w:p>
    <w:p w14:paraId="5D949D55" w14:textId="77777777" w:rsidR="00EE18AE" w:rsidRDefault="00000000">
      <w:pPr>
        <w:pBdr>
          <w:left w:val="single" w:sz="24" w:space="8" w:color="C0392B"/>
        </w:pBdr>
        <w:shd w:val="clear" w:color="auto" w:fill="FCECEC"/>
        <w:spacing w:before="120" w:after="40"/>
      </w:pPr>
      <w:r>
        <w:rPr>
          <w:b/>
          <w:bCs/>
          <w:color w:val="C0392B"/>
          <w:sz w:val="20"/>
          <w:szCs w:val="20"/>
        </w:rPr>
        <w:t>⚠  Worked example: spread cost on a single round trip</w:t>
      </w:r>
    </w:p>
    <w:p w14:paraId="2964ADA8" w14:textId="77777777" w:rsidR="00EE18AE" w:rsidRDefault="00000000">
      <w:pPr>
        <w:pStyle w:val="ListParagraph"/>
        <w:numPr>
          <w:ilvl w:val="0"/>
          <w:numId w:val="2"/>
        </w:numPr>
        <w:pBdr>
          <w:left w:val="single" w:sz="24" w:space="8" w:color="C0392B"/>
        </w:pBdr>
        <w:shd w:val="clear" w:color="auto" w:fill="FCECEC"/>
        <w:spacing w:after="40"/>
      </w:pPr>
      <w:r>
        <w:rPr>
          <w:sz w:val="20"/>
          <w:szCs w:val="20"/>
        </w:rPr>
        <w:t>A stock quotes Bid $49.98 / Ask $50.02 (a 4-cent, or 8bp, spread on a $50.00 mid).</w:t>
      </w:r>
    </w:p>
    <w:p w14:paraId="1666CF77" w14:textId="77777777" w:rsidR="00EE18AE" w:rsidRDefault="00000000">
      <w:pPr>
        <w:pStyle w:val="ListParagraph"/>
        <w:numPr>
          <w:ilvl w:val="0"/>
          <w:numId w:val="2"/>
        </w:numPr>
        <w:pBdr>
          <w:left w:val="single" w:sz="24" w:space="8" w:color="C0392B"/>
        </w:pBdr>
        <w:shd w:val="clear" w:color="auto" w:fill="FCECEC"/>
        <w:spacing w:after="40"/>
      </w:pPr>
      <w:r>
        <w:rPr>
          <w:sz w:val="20"/>
          <w:szCs w:val="20"/>
        </w:rPr>
        <w:t>Buying at the ask and immediately selling at the bid — with no price movement at all — loses $0.04 per share, or 8bp of notional, purely to the spread.</w:t>
      </w:r>
    </w:p>
    <w:p w14:paraId="0131BC03" w14:textId="77777777" w:rsidR="00EE18AE" w:rsidRDefault="00000000">
      <w:pPr>
        <w:pStyle w:val="ListParagraph"/>
        <w:numPr>
          <w:ilvl w:val="0"/>
          <w:numId w:val="2"/>
        </w:numPr>
        <w:pBdr>
          <w:left w:val="single" w:sz="24" w:space="8" w:color="C0392B"/>
        </w:pBdr>
        <w:shd w:val="clear" w:color="auto" w:fill="FCECEC"/>
        <w:spacing w:after="40"/>
      </w:pPr>
      <w:r>
        <w:rPr>
          <w:sz w:val="20"/>
          <w:szCs w:val="20"/>
        </w:rPr>
        <w:t xml:space="preserve">On a $100,000 position (2,000 shares), that is $80 lost per round trip with zero net price movement — exactly the cost a mid-price </w:t>
      </w:r>
      <w:proofErr w:type="spellStart"/>
      <w:r>
        <w:rPr>
          <w:sz w:val="20"/>
          <w:szCs w:val="20"/>
        </w:rPr>
        <w:t>backtest</w:t>
      </w:r>
      <w:proofErr w:type="spellEnd"/>
      <w:r>
        <w:rPr>
          <w:sz w:val="20"/>
          <w:szCs w:val="20"/>
        </w:rPr>
        <w:t xml:space="preserve"> silently ignores.</w:t>
      </w:r>
    </w:p>
    <w:p w14:paraId="6C065FE8" w14:textId="77777777" w:rsidR="00EE18AE" w:rsidRDefault="00EE18AE">
      <w:pPr>
        <w:spacing w:after="80"/>
      </w:pPr>
    </w:p>
    <w:p w14:paraId="4B9A368D" w14:textId="77777777" w:rsidR="00EE18AE" w:rsidRDefault="00000000">
      <w:pPr>
        <w:pStyle w:val="Heading2"/>
        <w:spacing w:before="260"/>
      </w:pPr>
      <w:bookmarkStart w:id="29" w:name="_Toc239542924"/>
      <w:r>
        <w:lastRenderedPageBreak/>
        <w:t>3.6 Funding, Carry and Basis — Worked Examples</w:t>
      </w:r>
      <w:bookmarkEnd w:id="29"/>
    </w:p>
    <w:p w14:paraId="762B9A68" w14:textId="77777777" w:rsidR="00EE18AE" w:rsidRDefault="00000000">
      <w:pPr>
        <w:spacing w:before="160" w:after="60"/>
      </w:pPr>
      <w:r>
        <w:rPr>
          <w:b/>
          <w:bCs/>
          <w:i/>
          <w:iCs/>
          <w:color w:val="2E5395"/>
          <w:sz w:val="22"/>
          <w:szCs w:val="22"/>
        </w:rPr>
        <w:t>Cash-and-carry basis trade</w:t>
      </w:r>
    </w:p>
    <w:p w14:paraId="01CF8A29" w14:textId="77777777" w:rsidR="00EE18AE" w:rsidRDefault="00000000">
      <w:pPr>
        <w:spacing w:after="120"/>
      </w:pPr>
      <w:r>
        <w:t>Basis is the gap between a futures price and its underlying spot price. When a future trades above spot (positive/contango basis) by more than the cost of financing and storing the underlying, a cash-and-carry arbitrage becomes attractive: buy the underlying spot, simultaneously sell the future, and lock in the basis as riskless profit (before financing/storage costs).</w:t>
      </w:r>
    </w:p>
    <w:p w14:paraId="11F3FC79" w14:textId="77777777" w:rsidR="00EE18AE" w:rsidRDefault="00000000">
      <w:pPr>
        <w:pBdr>
          <w:left w:val="single" w:sz="24" w:space="8" w:color="C0392B"/>
        </w:pBdr>
        <w:shd w:val="clear" w:color="auto" w:fill="FCECEC"/>
        <w:spacing w:before="120" w:after="40"/>
      </w:pPr>
      <w:r>
        <w:rPr>
          <w:b/>
          <w:bCs/>
          <w:color w:val="C0392B"/>
          <w:sz w:val="20"/>
          <w:szCs w:val="20"/>
        </w:rPr>
        <w:t>⚠  Worked example: gold cash-and-carry</w:t>
      </w:r>
    </w:p>
    <w:p w14:paraId="58295C90" w14:textId="77777777" w:rsidR="00EE18AE" w:rsidRDefault="00000000">
      <w:pPr>
        <w:pStyle w:val="ListParagraph"/>
        <w:numPr>
          <w:ilvl w:val="0"/>
          <w:numId w:val="2"/>
        </w:numPr>
        <w:pBdr>
          <w:left w:val="single" w:sz="24" w:space="8" w:color="C0392B"/>
        </w:pBdr>
        <w:shd w:val="clear" w:color="auto" w:fill="FCECEC"/>
        <w:spacing w:after="40"/>
      </w:pPr>
      <w:r>
        <w:rPr>
          <w:sz w:val="20"/>
          <w:szCs w:val="20"/>
        </w:rPr>
        <w:t>Gold spot trades at $2,000/oz. The 6-month gold future trades at $2,035/oz. Basis = $2,035 − $2,000 = $35, or 3.5% over 6 months (7% annualised).</w:t>
      </w:r>
    </w:p>
    <w:p w14:paraId="45D0F068" w14:textId="77777777" w:rsidR="00EE18AE" w:rsidRDefault="00000000">
      <w:pPr>
        <w:pStyle w:val="ListParagraph"/>
        <w:numPr>
          <w:ilvl w:val="0"/>
          <w:numId w:val="2"/>
        </w:numPr>
        <w:pBdr>
          <w:left w:val="single" w:sz="24" w:space="8" w:color="C0392B"/>
        </w:pBdr>
        <w:shd w:val="clear" w:color="auto" w:fill="FCECEC"/>
        <w:spacing w:after="40"/>
      </w:pPr>
      <w:r>
        <w:rPr>
          <w:sz w:val="20"/>
          <w:szCs w:val="20"/>
        </w:rPr>
        <w:t>If the annualised cost of financing the spot purchase plus storage/insurance is, say, 4.5%, then buying spot and selling the future locks in an annualised carry profit of approximately 7% − 4.5% = 2.5%, before transaction costs — this is exactly the kind of basis/carry relationship referenced as an 'advanced extension' in §1 and §3.1.</w:t>
      </w:r>
    </w:p>
    <w:p w14:paraId="7BA3956D" w14:textId="77777777" w:rsidR="00EE18AE" w:rsidRDefault="00EE18AE">
      <w:pPr>
        <w:spacing w:after="80"/>
      </w:pPr>
    </w:p>
    <w:p w14:paraId="4DA87A05" w14:textId="77777777" w:rsidR="00EE18AE" w:rsidRDefault="00000000">
      <w:pPr>
        <w:spacing w:before="160" w:after="60"/>
      </w:pPr>
      <w:r>
        <w:rPr>
          <w:b/>
          <w:bCs/>
          <w:i/>
          <w:iCs/>
          <w:color w:val="2E5395"/>
          <w:sz w:val="22"/>
          <w:szCs w:val="22"/>
        </w:rPr>
        <w:t>Perpetual-future funding-rate carry (cross-reference)</w:t>
      </w:r>
    </w:p>
    <w:p w14:paraId="535E0295" w14:textId="77777777" w:rsidR="00EE18AE" w:rsidRDefault="00000000">
      <w:pPr>
        <w:spacing w:after="120"/>
      </w:pPr>
      <w:r>
        <w:t>The perpetual-funding worked example in §2.5 is the crypto-market analogue of basis trading: persistent positive funding is economically equivalent to the perpetual trading at a premium to spot, and can itself be captured (short the perpetual, long the spot) as a carry trade, subject to funding-rate volatility risk.</w:t>
      </w:r>
    </w:p>
    <w:p w14:paraId="5895F621" w14:textId="77777777" w:rsidR="00EE18AE" w:rsidRDefault="00000000">
      <w:pPr>
        <w:pStyle w:val="Heading2"/>
        <w:spacing w:before="260"/>
      </w:pPr>
      <w:bookmarkStart w:id="30" w:name="_Toc239542925"/>
      <w:r>
        <w:t>3.7 Common Mistakes — Deeper Look</w:t>
      </w:r>
      <w:bookmarkEnd w:id="30"/>
    </w:p>
    <w:p w14:paraId="0C102E54" w14:textId="77777777" w:rsidR="00EE18AE" w:rsidRDefault="00000000">
      <w:pPr>
        <w:spacing w:before="160" w:after="60"/>
      </w:pPr>
      <w:r>
        <w:rPr>
          <w:b/>
          <w:bCs/>
          <w:i/>
          <w:iCs/>
          <w:color w:val="2E5395"/>
          <w:sz w:val="22"/>
          <w:szCs w:val="22"/>
        </w:rPr>
        <w:t>Confusing notional exposure with capital at risk</w:t>
      </w:r>
    </w:p>
    <w:p w14:paraId="63CDF3ED" w14:textId="77777777" w:rsidR="00EE18AE" w:rsidRDefault="00000000">
      <w:pPr>
        <w:spacing w:after="120"/>
      </w:pPr>
      <w:r>
        <w:t>As shown quantitatively in the Callout in §3.3, the capital posted as margin is not a ceiling on possible loss — it is a good-faith deposit sized to cover an expected loss range, not the worst case. Losses can, and in leveraged products regularly do, exceed the posted margin, which is precisely why margin calls and maintenance-margin mechanics (§3.4) exist.</w:t>
      </w:r>
    </w:p>
    <w:p w14:paraId="6F13B9C4" w14:textId="77777777" w:rsidR="00EE18AE" w:rsidRDefault="00000000">
      <w:pPr>
        <w:spacing w:before="160" w:after="60"/>
      </w:pPr>
      <w:r>
        <w:rPr>
          <w:b/>
          <w:bCs/>
          <w:i/>
          <w:iCs/>
          <w:color w:val="2E5395"/>
          <w:sz w:val="22"/>
          <w:szCs w:val="22"/>
        </w:rPr>
        <w:t>Ignoring the bid/ask spread when computing theoretical P&amp;L</w:t>
      </w:r>
    </w:p>
    <w:p w14:paraId="62CA78E8" w14:textId="77777777" w:rsidR="00EE18AE" w:rsidRDefault="00000000">
      <w:pPr>
        <w:spacing w:after="120"/>
      </w:pPr>
      <w:r>
        <w:t xml:space="preserve">This is the single most common reason a promising-looking </w:t>
      </w:r>
      <w:proofErr w:type="spellStart"/>
      <w:r>
        <w:t>backtest</w:t>
      </w:r>
      <w:proofErr w:type="spellEnd"/>
      <w:r>
        <w:t xml:space="preserve"> fails to replicate live, and it compounds directly with trading frequency, as Figure 3.4 shows. Any P&amp;L or Sharpe ratio computed at the mid-price should be treated as an unrealistic upper bound until spread (and, for larger size, market impact) is explicitly deducted.</w:t>
      </w:r>
    </w:p>
    <w:p w14:paraId="0C8D3AEB" w14:textId="77777777" w:rsidR="00EE18AE" w:rsidRDefault="00000000">
      <w:pPr>
        <w:pStyle w:val="Heading2"/>
        <w:spacing w:before="260"/>
      </w:pPr>
      <w:bookmarkStart w:id="31" w:name="_Toc239542926"/>
      <w:r>
        <w:t>3.8 Professional Applications</w:t>
      </w:r>
      <w:bookmarkEnd w:id="31"/>
    </w:p>
    <w:p w14:paraId="211A0CA9" w14:textId="77777777" w:rsidR="00EE18AE" w:rsidRDefault="00000000">
      <w:pPr>
        <w:pStyle w:val="ListParagraph"/>
        <w:numPr>
          <w:ilvl w:val="0"/>
          <w:numId w:val="2"/>
        </w:numPr>
        <w:spacing w:after="40"/>
      </w:pPr>
      <w:r>
        <w:rPr>
          <w:b/>
          <w:bCs/>
          <w:sz w:val="20"/>
          <w:szCs w:val="20"/>
        </w:rPr>
        <w:t xml:space="preserve">Position sizing: </w:t>
      </w:r>
      <w:r>
        <w:rPr>
          <w:sz w:val="20"/>
          <w:szCs w:val="20"/>
        </w:rPr>
        <w:t>Professional position sizing (e.g. volatility targeting, covered in Part II Level 3) is expressed in the notional and leverage vocabulary defined here — you cannot size a position correctly without first being precise about what 'size' means.</w:t>
      </w:r>
    </w:p>
    <w:p w14:paraId="7F646736" w14:textId="77777777" w:rsidR="00EE18AE" w:rsidRDefault="00000000">
      <w:pPr>
        <w:pStyle w:val="ListParagraph"/>
        <w:numPr>
          <w:ilvl w:val="0"/>
          <w:numId w:val="2"/>
        </w:numPr>
        <w:spacing w:after="40"/>
      </w:pPr>
      <w:r>
        <w:rPr>
          <w:b/>
          <w:bCs/>
          <w:sz w:val="20"/>
          <w:szCs w:val="20"/>
        </w:rPr>
        <w:t xml:space="preserve">Margin management: </w:t>
      </w:r>
      <w:r>
        <w:rPr>
          <w:sz w:val="20"/>
          <w:szCs w:val="20"/>
        </w:rPr>
        <w:t>Treasury and risk-operations functions at any trading firm exist specifically to forecast and manage margin calls of the kind worked through in §3.4, across potentially thousands of positions simultaneously.</w:t>
      </w:r>
    </w:p>
    <w:p w14:paraId="49D88F2F" w14:textId="77777777" w:rsidR="00EE18AE" w:rsidRDefault="00000000">
      <w:pPr>
        <w:pStyle w:val="ListParagraph"/>
        <w:numPr>
          <w:ilvl w:val="0"/>
          <w:numId w:val="2"/>
        </w:numPr>
        <w:spacing w:after="40"/>
      </w:pPr>
      <w:r>
        <w:rPr>
          <w:b/>
          <w:bCs/>
          <w:sz w:val="20"/>
          <w:szCs w:val="20"/>
        </w:rPr>
        <w:t xml:space="preserve">Real-time risk dashboards: </w:t>
      </w:r>
      <w:r>
        <w:rPr>
          <w:sz w:val="20"/>
          <w:szCs w:val="20"/>
        </w:rPr>
        <w:t>Every quantity in the §3.2 vocabulary table — notional, unrealised P&amp;L, margin usage, effective leverage — is a standard field on any professional real-time trading risk dashboard.</w:t>
      </w:r>
    </w:p>
    <w:sectPr w:rsidR="00EE18AE">
      <w:headerReference w:type="default" r:id="rId15"/>
      <w:footerReference w:type="default" r:id="rId16"/>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40DDB8F" w14:textId="77777777" w:rsidR="005B2CE3" w:rsidRDefault="005B2CE3">
      <w:r>
        <w:separator/>
      </w:r>
    </w:p>
  </w:endnote>
  <w:endnote w:type="continuationSeparator" w:id="0">
    <w:p w14:paraId="3CAA4A31" w14:textId="77777777" w:rsidR="005B2CE3" w:rsidRDefault="005B2C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52942F" w14:textId="77777777" w:rsidR="00EE18AE" w:rsidRDefault="00000000">
    <w:pPr>
      <w:jc w:val="center"/>
    </w:pPr>
    <w:r>
      <w:rPr>
        <w:color w:val="808080"/>
        <w:sz w:val="16"/>
        <w:szCs w:val="16"/>
      </w:rPr>
      <w:t xml:space="preserve">Financial Market Structure, Asset Classes &amp; Trading Mechanics  •  </w:t>
    </w:r>
    <w:r>
      <w:rPr>
        <w:color w:val="808080"/>
        <w:sz w:val="16"/>
        <w:szCs w:val="16"/>
      </w:rPr>
      <w:fldChar w:fldCharType="begin"/>
    </w:r>
    <w:r>
      <w:rPr>
        <w:color w:val="808080"/>
        <w:sz w:val="16"/>
        <w:szCs w:val="16"/>
      </w:rPr>
      <w:instrText>PAGE</w:instrText>
    </w:r>
    <w:r>
      <w:rPr>
        <w:color w:val="808080"/>
        <w:sz w:val="16"/>
        <w:szCs w:val="16"/>
      </w:rPr>
      <w:fldChar w:fldCharType="separate"/>
    </w:r>
    <w:r w:rsidR="00DF09AA">
      <w:rPr>
        <w:noProof/>
        <w:color w:val="808080"/>
        <w:sz w:val="16"/>
        <w:szCs w:val="16"/>
      </w:rPr>
      <w:t>15</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1B1D044" w14:textId="77777777" w:rsidR="005B2CE3" w:rsidRDefault="005B2CE3">
      <w:r>
        <w:separator/>
      </w:r>
    </w:p>
  </w:footnote>
  <w:footnote w:type="continuationSeparator" w:id="0">
    <w:p w14:paraId="59569619" w14:textId="77777777" w:rsidR="005B2CE3" w:rsidRDefault="005B2C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3D4506" w14:textId="77777777" w:rsidR="00EE18AE" w:rsidRDefault="00000000">
    <w:pPr>
      <w:pBdr>
        <w:bottom w:val="single" w:sz="4" w:space="4" w:color="BFBFBF"/>
      </w:pBdr>
      <w:jc w:val="right"/>
    </w:pPr>
    <w:r>
      <w:rPr>
        <w:i/>
        <w:iCs/>
        <w:color w:val="808080"/>
        <w:sz w:val="16"/>
        <w:szCs w:val="16"/>
      </w:rPr>
      <w:t>Level 1 — Expanded Reference Edition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F540CA5"/>
    <w:multiLevelType w:val="hybridMultilevel"/>
    <w:tmpl w:val="9DE4DB78"/>
    <w:lvl w:ilvl="0" w:tplc="0D889CCA">
      <w:start w:val="1"/>
      <w:numFmt w:val="bullet"/>
      <w:lvlText w:val="●"/>
      <w:lvlJc w:val="left"/>
      <w:pPr>
        <w:ind w:left="720" w:hanging="360"/>
      </w:pPr>
    </w:lvl>
    <w:lvl w:ilvl="1" w:tplc="8FA674E8">
      <w:start w:val="1"/>
      <w:numFmt w:val="bullet"/>
      <w:lvlText w:val="○"/>
      <w:lvlJc w:val="left"/>
      <w:pPr>
        <w:ind w:left="1440" w:hanging="360"/>
      </w:pPr>
    </w:lvl>
    <w:lvl w:ilvl="2" w:tplc="616E34CC">
      <w:start w:val="1"/>
      <w:numFmt w:val="bullet"/>
      <w:lvlText w:val="■"/>
      <w:lvlJc w:val="left"/>
      <w:pPr>
        <w:ind w:left="2160" w:hanging="360"/>
      </w:pPr>
    </w:lvl>
    <w:lvl w:ilvl="3" w:tplc="E02A515A">
      <w:start w:val="1"/>
      <w:numFmt w:val="bullet"/>
      <w:lvlText w:val="●"/>
      <w:lvlJc w:val="left"/>
      <w:pPr>
        <w:ind w:left="2880" w:hanging="360"/>
      </w:pPr>
    </w:lvl>
    <w:lvl w:ilvl="4" w:tplc="7428848E">
      <w:start w:val="1"/>
      <w:numFmt w:val="bullet"/>
      <w:lvlText w:val="○"/>
      <w:lvlJc w:val="left"/>
      <w:pPr>
        <w:ind w:left="3600" w:hanging="360"/>
      </w:pPr>
    </w:lvl>
    <w:lvl w:ilvl="5" w:tplc="B128BC44">
      <w:start w:val="1"/>
      <w:numFmt w:val="bullet"/>
      <w:lvlText w:val="■"/>
      <w:lvlJc w:val="left"/>
      <w:pPr>
        <w:ind w:left="4320" w:hanging="360"/>
      </w:pPr>
    </w:lvl>
    <w:lvl w:ilvl="6" w:tplc="2A52D192">
      <w:start w:val="1"/>
      <w:numFmt w:val="bullet"/>
      <w:lvlText w:val="●"/>
      <w:lvlJc w:val="left"/>
      <w:pPr>
        <w:ind w:left="5040" w:hanging="360"/>
      </w:pPr>
    </w:lvl>
    <w:lvl w:ilvl="7" w:tplc="4F9C6DA4">
      <w:start w:val="1"/>
      <w:numFmt w:val="bullet"/>
      <w:lvlText w:val="●"/>
      <w:lvlJc w:val="left"/>
      <w:pPr>
        <w:ind w:left="5760" w:hanging="360"/>
      </w:pPr>
    </w:lvl>
    <w:lvl w:ilvl="8" w:tplc="84869974">
      <w:start w:val="1"/>
      <w:numFmt w:val="bullet"/>
      <w:lvlText w:val="●"/>
      <w:lvlJc w:val="left"/>
      <w:pPr>
        <w:ind w:left="6480" w:hanging="360"/>
      </w:pPr>
    </w:lvl>
  </w:abstractNum>
  <w:abstractNum w:abstractNumId="1" w15:restartNumberingAfterBreak="0">
    <w:nsid w:val="25D63F82"/>
    <w:multiLevelType w:val="hybridMultilevel"/>
    <w:tmpl w:val="333AA534"/>
    <w:lvl w:ilvl="0" w:tplc="5874CB74">
      <w:start w:val="1"/>
      <w:numFmt w:val="bullet"/>
      <w:lvlText w:val="•"/>
      <w:lvlJc w:val="left"/>
      <w:pPr>
        <w:ind w:left="450" w:hanging="270"/>
      </w:pPr>
    </w:lvl>
    <w:lvl w:ilvl="1" w:tplc="BEFA0638">
      <w:start w:val="1"/>
      <w:numFmt w:val="bullet"/>
      <w:lvlText w:val="–"/>
      <w:lvlJc w:val="left"/>
      <w:pPr>
        <w:ind w:left="900" w:hanging="270"/>
      </w:pPr>
    </w:lvl>
    <w:lvl w:ilvl="2" w:tplc="D990159C">
      <w:start w:val="1"/>
      <w:numFmt w:val="bullet"/>
      <w:lvlText w:val="▪"/>
      <w:lvlJc w:val="left"/>
      <w:pPr>
        <w:ind w:left="1350" w:hanging="270"/>
      </w:pPr>
    </w:lvl>
    <w:lvl w:ilvl="3" w:tplc="4EA6CABC">
      <w:numFmt w:val="decimal"/>
      <w:lvlText w:val=""/>
      <w:lvlJc w:val="left"/>
    </w:lvl>
    <w:lvl w:ilvl="4" w:tplc="2654DD28">
      <w:numFmt w:val="decimal"/>
      <w:lvlText w:val=""/>
      <w:lvlJc w:val="left"/>
    </w:lvl>
    <w:lvl w:ilvl="5" w:tplc="CB785EC2">
      <w:numFmt w:val="decimal"/>
      <w:lvlText w:val=""/>
      <w:lvlJc w:val="left"/>
    </w:lvl>
    <w:lvl w:ilvl="6" w:tplc="BECE8CF0">
      <w:numFmt w:val="decimal"/>
      <w:lvlText w:val=""/>
      <w:lvlJc w:val="left"/>
    </w:lvl>
    <w:lvl w:ilvl="7" w:tplc="5070381C">
      <w:numFmt w:val="decimal"/>
      <w:lvlText w:val=""/>
      <w:lvlJc w:val="left"/>
    </w:lvl>
    <w:lvl w:ilvl="8" w:tplc="06C62244">
      <w:numFmt w:val="decimal"/>
      <w:lvlText w:val=""/>
      <w:lvlJc w:val="left"/>
    </w:lvl>
  </w:abstractNum>
  <w:abstractNum w:abstractNumId="2" w15:restartNumberingAfterBreak="0">
    <w:nsid w:val="63545B49"/>
    <w:multiLevelType w:val="hybridMultilevel"/>
    <w:tmpl w:val="732E09A2"/>
    <w:lvl w:ilvl="0" w:tplc="DBE689D4">
      <w:start w:val="1"/>
      <w:numFmt w:val="bullet"/>
      <w:lvlText w:val="☐"/>
      <w:lvlJc w:val="left"/>
      <w:pPr>
        <w:ind w:left="450" w:hanging="270"/>
      </w:pPr>
    </w:lvl>
    <w:lvl w:ilvl="1" w:tplc="2766F960">
      <w:numFmt w:val="decimal"/>
      <w:lvlText w:val=""/>
      <w:lvlJc w:val="left"/>
    </w:lvl>
    <w:lvl w:ilvl="2" w:tplc="7B1C85C4">
      <w:numFmt w:val="decimal"/>
      <w:lvlText w:val=""/>
      <w:lvlJc w:val="left"/>
    </w:lvl>
    <w:lvl w:ilvl="3" w:tplc="1BEEBB6E">
      <w:numFmt w:val="decimal"/>
      <w:lvlText w:val=""/>
      <w:lvlJc w:val="left"/>
    </w:lvl>
    <w:lvl w:ilvl="4" w:tplc="001CB036">
      <w:numFmt w:val="decimal"/>
      <w:lvlText w:val=""/>
      <w:lvlJc w:val="left"/>
    </w:lvl>
    <w:lvl w:ilvl="5" w:tplc="A9EC55F4">
      <w:numFmt w:val="decimal"/>
      <w:lvlText w:val=""/>
      <w:lvlJc w:val="left"/>
    </w:lvl>
    <w:lvl w:ilvl="6" w:tplc="00D41F38">
      <w:numFmt w:val="decimal"/>
      <w:lvlText w:val=""/>
      <w:lvlJc w:val="left"/>
    </w:lvl>
    <w:lvl w:ilvl="7" w:tplc="2292BC94">
      <w:numFmt w:val="decimal"/>
      <w:lvlText w:val=""/>
      <w:lvlJc w:val="left"/>
    </w:lvl>
    <w:lvl w:ilvl="8" w:tplc="34864074">
      <w:numFmt w:val="decimal"/>
      <w:lvlText w:val=""/>
      <w:lvlJc w:val="left"/>
    </w:lvl>
  </w:abstractNum>
  <w:num w:numId="1" w16cid:durableId="2048066494">
    <w:abstractNumId w:val="0"/>
    <w:lvlOverride w:ilvl="0">
      <w:startOverride w:val="1"/>
    </w:lvlOverride>
  </w:num>
  <w:num w:numId="2" w16cid:durableId="1812290050">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18AE"/>
    <w:rsid w:val="001140A3"/>
    <w:rsid w:val="005B2CE3"/>
    <w:rsid w:val="00AE786B"/>
    <w:rsid w:val="00DF09AA"/>
    <w:rsid w:val="00E97A99"/>
    <w:rsid w:val="00EE18AE"/>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4:docId w14:val="486F7821"/>
  <w15:docId w15:val="{5D6B2D65-D3E2-FB47-893B-CC505CAF8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1"/>
        <w:szCs w:val="21"/>
        <w:lang w:val="en-S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6" w:color="1F3864"/>
      </w:pBdr>
      <w:spacing w:after="220"/>
      <w:outlineLvl w:val="0"/>
    </w:pPr>
    <w:rPr>
      <w:b/>
      <w:bCs/>
      <w:color w:val="1F3864"/>
      <w:sz w:val="32"/>
      <w:szCs w:val="32"/>
    </w:rPr>
  </w:style>
  <w:style w:type="paragraph" w:styleId="Heading2">
    <w:name w:val="heading 2"/>
    <w:uiPriority w:val="9"/>
    <w:unhideWhenUsed/>
    <w:qFormat/>
    <w:pPr>
      <w:spacing w:before="280" w:after="140"/>
      <w:outlineLvl w:val="1"/>
    </w:pPr>
    <w:rPr>
      <w:b/>
      <w:bCs/>
      <w:color w:val="2E5395"/>
      <w:sz w:val="26"/>
      <w:szCs w:val="26"/>
    </w:rPr>
  </w:style>
  <w:style w:type="paragraph" w:styleId="Heading3">
    <w:name w:val="heading 3"/>
    <w:uiPriority w:val="9"/>
    <w:unhideWhenUsed/>
    <w:qFormat/>
    <w:pPr>
      <w:spacing w:before="200" w:after="100"/>
      <w:outlineLvl w:val="2"/>
    </w:pPr>
    <w:rPr>
      <w:b/>
      <w:bCs/>
      <w:color w:val="31859B"/>
      <w:sz w:val="22"/>
      <w:szCs w:val="22"/>
    </w:rPr>
  </w:style>
  <w:style w:type="paragraph" w:styleId="Heading4">
    <w:name w:val="heading 4"/>
    <w:uiPriority w:val="9"/>
    <w:semiHidden/>
    <w:unhideWhenUsed/>
    <w:qFormat/>
    <w:pPr>
      <w:spacing w:before="160" w:after="60"/>
      <w:outlineLvl w:val="3"/>
    </w:pPr>
    <w:rPr>
      <w:b/>
      <w:bCs/>
      <w:i/>
      <w:iCs/>
      <w:color w:val="2E539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F09AA"/>
    <w:pPr>
      <w:spacing w:after="100"/>
    </w:pPr>
  </w:style>
  <w:style w:type="paragraph" w:styleId="TOC2">
    <w:name w:val="toc 2"/>
    <w:basedOn w:val="Normal"/>
    <w:next w:val="Normal"/>
    <w:autoRedefine/>
    <w:uiPriority w:val="39"/>
    <w:unhideWhenUsed/>
    <w:rsid w:val="00DF09AA"/>
    <w:pPr>
      <w:spacing w:after="100"/>
      <w:ind w:left="210"/>
    </w:pPr>
  </w:style>
  <w:style w:type="paragraph" w:styleId="TOC3">
    <w:name w:val="toc 3"/>
    <w:basedOn w:val="Normal"/>
    <w:next w:val="Normal"/>
    <w:autoRedefine/>
    <w:uiPriority w:val="39"/>
    <w:unhideWhenUsed/>
    <w:rsid w:val="00DF09AA"/>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6412</Words>
  <Characters>36551</Characters>
  <Application>Microsoft Office Word</Application>
  <DocSecurity>0</DocSecurity>
  <Lines>304</Lines>
  <Paragraphs>85</Paragraphs>
  <ScaleCrop>false</ScaleCrop>
  <Company/>
  <LinksUpToDate>false</LinksUpToDate>
  <CharactersWithSpaces>42878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Financial Market Structure, Asset Classes &amp; Trading Mechanics — Expanded Reference</dc:title>
  <dc:creator>Claude</dc:creator>
  <cp:lastModifiedBy>Kevin Tan Yuejun</cp:lastModifiedBy>
  <cp:revision>6</cp:revision>
  <dcterms:created xsi:type="dcterms:W3CDTF">2026-08-31T06:50:00Z</dcterms:created>
  <dcterms:modified xsi:type="dcterms:W3CDTF">2026-09-05T15:22:00Z</dcterms:modified>
</cp:coreProperties>
</file>