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ED5A" w14:textId="275C23F6" w:rsidR="003507A4" w:rsidRDefault="00266BA0" w:rsidP="001A0AEB">
      <w:pPr>
        <w:jc w:val="both"/>
        <w:rPr>
          <w:rFonts w:ascii="Helvetica" w:hAnsi="Helvetica"/>
          <w:b/>
          <w:bCs/>
          <w:lang w:val="en-US"/>
        </w:rPr>
      </w:pPr>
      <w:r w:rsidRPr="00266BA0">
        <w:rPr>
          <w:rFonts w:ascii="Helvetica" w:hAnsi="Helvetica"/>
          <w:b/>
          <w:bCs/>
          <w:lang w:val="en-US"/>
        </w:rPr>
        <w:t>Event</w:t>
      </w:r>
      <w:r>
        <w:rPr>
          <w:rFonts w:ascii="Helvetica" w:hAnsi="Helvetica"/>
          <w:b/>
          <w:bCs/>
          <w:lang w:val="en-US"/>
        </w:rPr>
        <w:t xml:space="preserve"> </w:t>
      </w:r>
      <w:r w:rsidRPr="00266BA0">
        <w:rPr>
          <w:rFonts w:ascii="Helvetica" w:hAnsi="Helvetica"/>
          <w:b/>
          <w:bCs/>
          <w:lang w:val="en-US"/>
        </w:rPr>
        <w:t>Impact</w:t>
      </w:r>
      <w:r w:rsidR="000C4754">
        <w:rPr>
          <w:rFonts w:ascii="Helvetica" w:hAnsi="Helvetica"/>
          <w:b/>
          <w:bCs/>
          <w:lang w:val="en-US"/>
        </w:rPr>
        <w:t xml:space="preserve"> </w:t>
      </w:r>
      <w:r w:rsidRPr="00266BA0">
        <w:rPr>
          <w:rFonts w:ascii="Helvetica" w:hAnsi="Helvetica"/>
          <w:b/>
          <w:bCs/>
          <w:lang w:val="en-US"/>
        </w:rPr>
        <w:t>Model</w:t>
      </w:r>
    </w:p>
    <w:p w14:paraId="33FBB954" w14:textId="77777777" w:rsidR="00266BA0" w:rsidRDefault="00266BA0" w:rsidP="001A0AEB">
      <w:pPr>
        <w:jc w:val="both"/>
        <w:rPr>
          <w:rFonts w:ascii="Helvetica" w:hAnsi="Helvetica"/>
          <w:sz w:val="20"/>
          <w:szCs w:val="20"/>
          <w:u w:val="single"/>
          <w:lang w:val="en-US"/>
        </w:rPr>
      </w:pPr>
    </w:p>
    <w:p w14:paraId="62609147" w14:textId="48DCFE8D" w:rsidR="00704358" w:rsidRPr="0093475C" w:rsidRDefault="00704358" w:rsidP="001A0AEB">
      <w:pPr>
        <w:jc w:val="both"/>
        <w:rPr>
          <w:rFonts w:ascii="Helvetica" w:hAnsi="Helvetica"/>
          <w:sz w:val="20"/>
          <w:szCs w:val="20"/>
          <w:lang w:val="en-US"/>
        </w:rPr>
      </w:pPr>
      <w:r w:rsidRPr="0093475C">
        <w:rPr>
          <w:rFonts w:ascii="Helvetica" w:hAnsi="Helvetica"/>
          <w:sz w:val="20"/>
          <w:szCs w:val="20"/>
          <w:lang w:val="en-US"/>
        </w:rPr>
        <w:t>Research and Reading Resources:</w:t>
      </w:r>
    </w:p>
    <w:p w14:paraId="056D307E" w14:textId="40460764" w:rsidR="00B27900" w:rsidRDefault="00AE132C" w:rsidP="001A0AEB">
      <w:pPr>
        <w:pStyle w:val="ListParagraph"/>
        <w:numPr>
          <w:ilvl w:val="0"/>
          <w:numId w:val="9"/>
        </w:numPr>
        <w:jc w:val="both"/>
        <w:rPr>
          <w:rFonts w:ascii="Helvetica" w:hAnsi="Helvetica"/>
          <w:sz w:val="20"/>
          <w:szCs w:val="20"/>
          <w:lang w:val="en-US"/>
        </w:rPr>
      </w:pPr>
      <w:hyperlink r:id="rId8" w:history="1">
        <w:r w:rsidRPr="00FD2E1C">
          <w:rPr>
            <w:rStyle w:val="Hyperlink"/>
            <w:rFonts w:ascii="Helvetica" w:hAnsi="Helvetica"/>
            <w:sz w:val="20"/>
            <w:szCs w:val="20"/>
            <w:lang w:val="en-US"/>
          </w:rPr>
          <w:t>https://www.investopedia.com/terms/e/eventstudy.asp</w:t>
        </w:r>
      </w:hyperlink>
    </w:p>
    <w:p w14:paraId="005B6A00" w14:textId="255F14B1" w:rsidR="00AE132C" w:rsidRDefault="007E7CC2" w:rsidP="001A0AEB">
      <w:pPr>
        <w:pStyle w:val="ListParagraph"/>
        <w:numPr>
          <w:ilvl w:val="0"/>
          <w:numId w:val="9"/>
        </w:numPr>
        <w:jc w:val="both"/>
        <w:rPr>
          <w:rFonts w:ascii="Helvetica" w:hAnsi="Helvetica"/>
          <w:sz w:val="20"/>
          <w:szCs w:val="20"/>
          <w:lang w:val="en-US"/>
        </w:rPr>
      </w:pPr>
      <w:hyperlink r:id="rId9" w:history="1">
        <w:r w:rsidRPr="00FD2E1C">
          <w:rPr>
            <w:rStyle w:val="Hyperlink"/>
            <w:rFonts w:ascii="Helvetica" w:hAnsi="Helvetica"/>
            <w:sz w:val="20"/>
            <w:szCs w:val="20"/>
            <w:lang w:val="en-US"/>
          </w:rPr>
          <w:t>https://www.sciencedirect.com/topics/economics-econometrics-and-finance/event-study</w:t>
        </w:r>
      </w:hyperlink>
    </w:p>
    <w:p w14:paraId="37893662" w14:textId="5A52B4C0" w:rsidR="007E7CC2" w:rsidRDefault="007609C9" w:rsidP="001A0AEB">
      <w:pPr>
        <w:pStyle w:val="ListParagraph"/>
        <w:numPr>
          <w:ilvl w:val="0"/>
          <w:numId w:val="9"/>
        </w:numPr>
        <w:jc w:val="both"/>
        <w:rPr>
          <w:rFonts w:ascii="Helvetica" w:hAnsi="Helvetica"/>
          <w:sz w:val="20"/>
          <w:szCs w:val="20"/>
          <w:lang w:val="en-US"/>
        </w:rPr>
      </w:pPr>
      <w:hyperlink r:id="rId10" w:history="1">
        <w:r w:rsidRPr="00FD2E1C">
          <w:rPr>
            <w:rStyle w:val="Hyperlink"/>
            <w:rFonts w:ascii="Helvetica" w:hAnsi="Helvetica"/>
            <w:sz w:val="20"/>
            <w:szCs w:val="20"/>
            <w:lang w:val="en-US"/>
          </w:rPr>
          <w:t>https://eventstudy.de/models/expected_return.html</w:t>
        </w:r>
      </w:hyperlink>
    </w:p>
    <w:p w14:paraId="7D951013" w14:textId="77777777" w:rsidR="00704358" w:rsidRDefault="00704358" w:rsidP="001A0AEB">
      <w:pPr>
        <w:jc w:val="both"/>
        <w:rPr>
          <w:rFonts w:ascii="Helvetica" w:hAnsi="Helvetica"/>
          <w:sz w:val="20"/>
          <w:szCs w:val="20"/>
          <w:u w:val="single"/>
          <w:lang w:val="en-US"/>
        </w:rPr>
      </w:pPr>
    </w:p>
    <w:p w14:paraId="6628E40A" w14:textId="0788B6E9" w:rsidR="00740E87" w:rsidRPr="006D25F4" w:rsidRDefault="006D25F4" w:rsidP="001A0AEB">
      <w:pPr>
        <w:jc w:val="both"/>
        <w:rPr>
          <w:rFonts w:ascii="Helvetica" w:hAnsi="Helvetica"/>
          <w:b/>
          <w:bCs/>
          <w:sz w:val="20"/>
          <w:szCs w:val="20"/>
          <w:lang w:val="en-US"/>
        </w:rPr>
      </w:pPr>
      <w:r w:rsidRPr="006D25F4">
        <w:rPr>
          <w:rFonts w:ascii="Helvetica" w:hAnsi="Helvetica"/>
          <w:b/>
          <w:bCs/>
          <w:sz w:val="20"/>
          <w:szCs w:val="20"/>
          <w:lang w:val="en-US"/>
        </w:rPr>
        <w:t>Introduction</w:t>
      </w:r>
    </w:p>
    <w:p w14:paraId="2D05BFC6" w14:textId="77777777" w:rsidR="006D25F4" w:rsidRDefault="006D25F4" w:rsidP="001A0AEB">
      <w:pPr>
        <w:jc w:val="both"/>
        <w:rPr>
          <w:rFonts w:ascii="Helvetica" w:hAnsi="Helvetica"/>
          <w:sz w:val="20"/>
          <w:szCs w:val="20"/>
          <w:lang w:val="en-US"/>
        </w:rPr>
      </w:pPr>
    </w:p>
    <w:p w14:paraId="35C4278D" w14:textId="49949A78" w:rsidR="00421EB3" w:rsidRDefault="00D320B0" w:rsidP="001A0AEB">
      <w:pPr>
        <w:jc w:val="both"/>
        <w:rPr>
          <w:rFonts w:ascii="Helvetica" w:hAnsi="Helvetica"/>
          <w:sz w:val="20"/>
          <w:szCs w:val="20"/>
          <w:lang w:val="en-US"/>
        </w:rPr>
      </w:pPr>
      <w:r>
        <w:rPr>
          <w:rFonts w:ascii="Helvetica" w:hAnsi="Helvetica"/>
          <w:sz w:val="20"/>
          <w:szCs w:val="20"/>
          <w:lang w:val="en-US"/>
        </w:rPr>
        <w:t>An event study is an</w:t>
      </w:r>
      <w:r w:rsidR="00421EB3" w:rsidRPr="00D320B0">
        <w:rPr>
          <w:rFonts w:ascii="Helvetica" w:hAnsi="Helvetica"/>
          <w:sz w:val="20"/>
          <w:szCs w:val="20"/>
          <w:lang w:val="en-US"/>
        </w:rPr>
        <w:t xml:space="preserve"> empirical analysis that examines the impact of a</w:t>
      </w:r>
      <w:r>
        <w:rPr>
          <w:rFonts w:ascii="Helvetica" w:hAnsi="Helvetica"/>
          <w:sz w:val="20"/>
          <w:szCs w:val="20"/>
          <w:lang w:val="en-US"/>
        </w:rPr>
        <w:t xml:space="preserve"> </w:t>
      </w:r>
      <w:r w:rsidR="00421EB3" w:rsidRPr="00D320B0">
        <w:rPr>
          <w:rFonts w:ascii="Helvetica" w:hAnsi="Helvetica"/>
          <w:sz w:val="20"/>
          <w:szCs w:val="20"/>
          <w:lang w:val="en-US"/>
        </w:rPr>
        <w:t>significant catalyst occurrence or contingent event on the value of a security</w:t>
      </w:r>
      <w:r w:rsidR="00BD36D2">
        <w:rPr>
          <w:rFonts w:ascii="Helvetica" w:hAnsi="Helvetica"/>
          <w:sz w:val="20"/>
          <w:szCs w:val="20"/>
          <w:lang w:val="en-US"/>
        </w:rPr>
        <w:t>.</w:t>
      </w:r>
    </w:p>
    <w:p w14:paraId="40C88C09" w14:textId="77777777" w:rsidR="009B0DF7" w:rsidRDefault="009B0DF7" w:rsidP="001A0AEB">
      <w:pPr>
        <w:jc w:val="both"/>
        <w:rPr>
          <w:rFonts w:ascii="Helvetica" w:hAnsi="Helvetica"/>
          <w:sz w:val="20"/>
          <w:szCs w:val="20"/>
          <w:lang w:val="en-US"/>
        </w:rPr>
      </w:pPr>
    </w:p>
    <w:p w14:paraId="69673052" w14:textId="564A84B2" w:rsidR="009B0DF7" w:rsidRDefault="004150A3" w:rsidP="001A0AEB">
      <w:pPr>
        <w:jc w:val="both"/>
        <w:rPr>
          <w:rFonts w:ascii="Helvetica" w:hAnsi="Helvetica"/>
          <w:sz w:val="20"/>
          <w:szCs w:val="20"/>
          <w:lang w:val="en-US"/>
        </w:rPr>
      </w:pPr>
      <w:r w:rsidRPr="004150A3">
        <w:rPr>
          <w:rFonts w:ascii="Helvetica" w:hAnsi="Helvetica"/>
          <w:sz w:val="20"/>
          <w:szCs w:val="20"/>
          <w:lang w:val="en-US"/>
        </w:rPr>
        <w:t>Event studies can reveal important information about how a security is likely to react to a given event. Examples of events that influence the value of a security include a company filing for Chapter 11 bankruptcy protection, the positive announcement of a merger, or a company defaulting on its debt obligations</w:t>
      </w:r>
      <w:r w:rsidR="00343718">
        <w:rPr>
          <w:rFonts w:ascii="Helvetica" w:hAnsi="Helvetica"/>
          <w:sz w:val="20"/>
          <w:szCs w:val="20"/>
          <w:lang w:val="en-US"/>
        </w:rPr>
        <w:t>.</w:t>
      </w:r>
    </w:p>
    <w:p w14:paraId="15328480" w14:textId="77777777" w:rsidR="00B40CAA" w:rsidRDefault="00B40CAA" w:rsidP="001A0AEB">
      <w:pPr>
        <w:jc w:val="both"/>
        <w:rPr>
          <w:rFonts w:ascii="Helvetica" w:hAnsi="Helvetica"/>
          <w:sz w:val="20"/>
          <w:szCs w:val="20"/>
          <w:lang w:val="en-US"/>
        </w:rPr>
      </w:pPr>
    </w:p>
    <w:p w14:paraId="1FC30D0B" w14:textId="32943995" w:rsidR="00B40CAA" w:rsidRPr="00B40CAA" w:rsidRDefault="00B40CAA" w:rsidP="001A0AEB">
      <w:pPr>
        <w:jc w:val="both"/>
        <w:rPr>
          <w:rFonts w:ascii="Helvetica" w:hAnsi="Helvetica"/>
          <w:b/>
          <w:bCs/>
          <w:sz w:val="20"/>
          <w:szCs w:val="20"/>
          <w:lang w:val="en-US"/>
        </w:rPr>
      </w:pPr>
      <w:r w:rsidRPr="00B40CAA">
        <w:rPr>
          <w:rFonts w:ascii="Helvetica" w:hAnsi="Helvetica"/>
          <w:b/>
          <w:bCs/>
          <w:sz w:val="20"/>
          <w:szCs w:val="20"/>
          <w:lang w:val="en-US"/>
        </w:rPr>
        <w:t>Motivation</w:t>
      </w:r>
    </w:p>
    <w:p w14:paraId="5AC6D9A5" w14:textId="77777777" w:rsidR="00B40CAA" w:rsidRDefault="00B40CAA" w:rsidP="001A0AEB">
      <w:pPr>
        <w:jc w:val="both"/>
        <w:rPr>
          <w:rFonts w:ascii="Helvetica" w:hAnsi="Helvetica"/>
          <w:sz w:val="20"/>
          <w:szCs w:val="20"/>
          <w:lang w:val="en-US"/>
        </w:rPr>
      </w:pPr>
    </w:p>
    <w:p w14:paraId="082F045D" w14:textId="4E4CAB72" w:rsidR="00B40CAA" w:rsidRDefault="000616DF" w:rsidP="001A0AEB">
      <w:pPr>
        <w:jc w:val="both"/>
        <w:rPr>
          <w:rFonts w:ascii="Helvetica" w:hAnsi="Helvetica"/>
          <w:sz w:val="20"/>
          <w:szCs w:val="20"/>
          <w:lang w:val="en-US"/>
        </w:rPr>
      </w:pPr>
      <w:r w:rsidRPr="000616DF">
        <w:rPr>
          <w:rFonts w:ascii="Helvetica" w:hAnsi="Helvetica"/>
          <w:sz w:val="20"/>
          <w:szCs w:val="20"/>
          <w:lang w:val="en-US"/>
        </w:rPr>
        <w:t xml:space="preserve">Event studies widely used in finance and economics to measure the impact of events on stock returns. </w:t>
      </w:r>
      <w:r w:rsidR="001775E1">
        <w:rPr>
          <w:rFonts w:ascii="Helvetica" w:hAnsi="Helvetica"/>
          <w:sz w:val="20"/>
          <w:szCs w:val="20"/>
          <w:lang w:val="en-US"/>
        </w:rPr>
        <w:t>We</w:t>
      </w:r>
      <w:r w:rsidRPr="000616DF">
        <w:rPr>
          <w:rFonts w:ascii="Helvetica" w:hAnsi="Helvetica"/>
          <w:sz w:val="20"/>
          <w:szCs w:val="20"/>
          <w:lang w:val="en-US"/>
        </w:rPr>
        <w:t xml:space="preserve"> </w:t>
      </w:r>
      <w:r w:rsidR="001775E1">
        <w:rPr>
          <w:rFonts w:ascii="Helvetica" w:hAnsi="Helvetica"/>
          <w:sz w:val="20"/>
          <w:szCs w:val="20"/>
          <w:lang w:val="en-US"/>
        </w:rPr>
        <w:t xml:space="preserve">will </w:t>
      </w:r>
      <w:r w:rsidRPr="00727B2A">
        <w:rPr>
          <w:rFonts w:ascii="Helvetica" w:hAnsi="Helvetica"/>
          <w:b/>
          <w:bCs/>
          <w:sz w:val="20"/>
          <w:szCs w:val="20"/>
          <w:u w:val="single"/>
          <w:lang w:val="en-US"/>
        </w:rPr>
        <w:t>estimat</w:t>
      </w:r>
      <w:r w:rsidR="001775E1" w:rsidRPr="00727B2A">
        <w:rPr>
          <w:rFonts w:ascii="Helvetica" w:hAnsi="Helvetica"/>
          <w:b/>
          <w:bCs/>
          <w:sz w:val="20"/>
          <w:szCs w:val="20"/>
          <w:u w:val="single"/>
          <w:lang w:val="en-US"/>
        </w:rPr>
        <w:t>e</w:t>
      </w:r>
      <w:r w:rsidRPr="00727B2A">
        <w:rPr>
          <w:rFonts w:ascii="Helvetica" w:hAnsi="Helvetica"/>
          <w:b/>
          <w:bCs/>
          <w:sz w:val="20"/>
          <w:szCs w:val="20"/>
          <w:u w:val="single"/>
          <w:lang w:val="en-US"/>
        </w:rPr>
        <w:t xml:space="preserve"> the abnormal returns</w:t>
      </w:r>
      <w:r w:rsidRPr="000616DF">
        <w:rPr>
          <w:rFonts w:ascii="Helvetica" w:hAnsi="Helvetica"/>
          <w:sz w:val="20"/>
          <w:szCs w:val="20"/>
          <w:lang w:val="en-US"/>
        </w:rPr>
        <w:t xml:space="preserve"> associated with a particular event and </w:t>
      </w:r>
      <w:r w:rsidRPr="00AE1BF8">
        <w:rPr>
          <w:rFonts w:ascii="Helvetica" w:hAnsi="Helvetica"/>
          <w:b/>
          <w:bCs/>
          <w:sz w:val="20"/>
          <w:szCs w:val="20"/>
          <w:u w:val="single"/>
          <w:lang w:val="en-US"/>
        </w:rPr>
        <w:t>analyz</w:t>
      </w:r>
      <w:r w:rsidR="00ED6EEC" w:rsidRPr="00AE1BF8">
        <w:rPr>
          <w:rFonts w:ascii="Helvetica" w:hAnsi="Helvetica"/>
          <w:b/>
          <w:bCs/>
          <w:sz w:val="20"/>
          <w:szCs w:val="20"/>
          <w:u w:val="single"/>
          <w:lang w:val="en-US"/>
        </w:rPr>
        <w:t>e</w:t>
      </w:r>
      <w:r w:rsidRPr="00AE1BF8">
        <w:rPr>
          <w:rFonts w:ascii="Helvetica" w:hAnsi="Helvetica"/>
          <w:b/>
          <w:bCs/>
          <w:sz w:val="20"/>
          <w:szCs w:val="20"/>
          <w:u w:val="single"/>
          <w:lang w:val="en-US"/>
        </w:rPr>
        <w:t xml:space="preserve"> the statistical significance</w:t>
      </w:r>
      <w:r w:rsidRPr="000616DF">
        <w:rPr>
          <w:rFonts w:ascii="Helvetica" w:hAnsi="Helvetica"/>
          <w:sz w:val="20"/>
          <w:szCs w:val="20"/>
          <w:lang w:val="en-US"/>
        </w:rPr>
        <w:t xml:space="preserve"> of these returns to determine the event’s effect. Various models have been developed to calculate the expected returns and abnormal returns, each with its own set of assumptions and considerations.</w:t>
      </w:r>
      <w:r w:rsidR="00CA7E73">
        <w:rPr>
          <w:rFonts w:ascii="Helvetica" w:hAnsi="Helvetica"/>
          <w:sz w:val="20"/>
          <w:szCs w:val="20"/>
          <w:lang w:val="en-US"/>
        </w:rPr>
        <w:t xml:space="preserve"> (See below)</w:t>
      </w:r>
    </w:p>
    <w:p w14:paraId="28A729EC" w14:textId="77777777" w:rsidR="00EF290A" w:rsidRDefault="00EF290A" w:rsidP="001A0AEB">
      <w:pPr>
        <w:jc w:val="both"/>
        <w:rPr>
          <w:rFonts w:ascii="Helvetica" w:hAnsi="Helvetica"/>
          <w:sz w:val="20"/>
          <w:szCs w:val="20"/>
          <w:lang w:val="en-US"/>
        </w:rPr>
      </w:pPr>
    </w:p>
    <w:p w14:paraId="1C3249BB" w14:textId="32406C05" w:rsidR="00E80E43" w:rsidRPr="00E80E43" w:rsidRDefault="00E80E43" w:rsidP="001A0AEB">
      <w:pPr>
        <w:jc w:val="both"/>
        <w:rPr>
          <w:rFonts w:ascii="Helvetica" w:hAnsi="Helvetica"/>
          <w:b/>
          <w:bCs/>
          <w:sz w:val="20"/>
          <w:szCs w:val="20"/>
          <w:lang w:val="en-US"/>
        </w:rPr>
      </w:pPr>
      <w:r w:rsidRPr="00E80E43">
        <w:rPr>
          <w:rFonts w:ascii="Helvetica" w:hAnsi="Helvetica"/>
          <w:b/>
          <w:bCs/>
          <w:sz w:val="20"/>
          <w:szCs w:val="20"/>
          <w:lang w:val="en-US"/>
        </w:rPr>
        <w:t>The Mechanics of Event Studies</w:t>
      </w:r>
    </w:p>
    <w:p w14:paraId="3E175B51" w14:textId="77777777" w:rsidR="00E80E43" w:rsidRDefault="00E80E43" w:rsidP="001A0AEB">
      <w:pPr>
        <w:jc w:val="both"/>
        <w:rPr>
          <w:rFonts w:ascii="Helvetica" w:hAnsi="Helvetica"/>
          <w:sz w:val="20"/>
          <w:szCs w:val="20"/>
          <w:lang w:val="en-US"/>
        </w:rPr>
      </w:pPr>
    </w:p>
    <w:p w14:paraId="0F4F4556" w14:textId="22967F84" w:rsidR="00EF290A" w:rsidRDefault="00816380" w:rsidP="001A0AEB">
      <w:pPr>
        <w:jc w:val="both"/>
        <w:rPr>
          <w:rFonts w:ascii="Helvetica" w:hAnsi="Helvetica"/>
          <w:sz w:val="20"/>
          <w:szCs w:val="20"/>
          <w:lang w:val="en-US"/>
        </w:rPr>
      </w:pPr>
      <w:r w:rsidRPr="00816380">
        <w:rPr>
          <w:rFonts w:ascii="Helvetica" w:hAnsi="Helvetica"/>
          <w:sz w:val="20"/>
          <w:szCs w:val="20"/>
          <w:lang w:val="en-US"/>
        </w:rPr>
        <w:t>An event study, also known as event-history analysis, employs statistical</w:t>
      </w:r>
      <w:r>
        <w:rPr>
          <w:rFonts w:ascii="Helvetica" w:hAnsi="Helvetica"/>
          <w:sz w:val="20"/>
          <w:szCs w:val="20"/>
          <w:lang w:val="en-US"/>
        </w:rPr>
        <w:t xml:space="preserve"> </w:t>
      </w:r>
      <w:r w:rsidRPr="00816380">
        <w:rPr>
          <w:rFonts w:ascii="Helvetica" w:hAnsi="Helvetica"/>
          <w:sz w:val="20"/>
          <w:szCs w:val="20"/>
          <w:lang w:val="en-US"/>
        </w:rPr>
        <w:t>methods, using time as the dependent variable and then looking for variables that explain the duration of an event—or the time until an event occurs.</w:t>
      </w:r>
    </w:p>
    <w:p w14:paraId="62F1BEC2" w14:textId="77777777" w:rsidR="00C23F49" w:rsidRDefault="00C23F49" w:rsidP="001A0AEB">
      <w:pPr>
        <w:jc w:val="both"/>
        <w:rPr>
          <w:rFonts w:ascii="Helvetica" w:hAnsi="Helvetica"/>
          <w:sz w:val="20"/>
          <w:szCs w:val="20"/>
          <w:lang w:val="en-US"/>
        </w:rPr>
      </w:pPr>
    </w:p>
    <w:p w14:paraId="106A2E2C" w14:textId="0B142B62" w:rsidR="00C23F49" w:rsidRPr="00C23F49" w:rsidRDefault="00C23F49" w:rsidP="001A0AEB">
      <w:pPr>
        <w:pStyle w:val="comp"/>
        <w:spacing w:before="0" w:beforeAutospacing="0"/>
        <w:jc w:val="both"/>
        <w:rPr>
          <w:rFonts w:ascii="Helvetica" w:eastAsiaTheme="minorHAnsi" w:hAnsi="Helvetica" w:cstheme="minorBidi"/>
          <w:kern w:val="2"/>
          <w:sz w:val="20"/>
          <w:szCs w:val="20"/>
          <w:lang w:val="en-US" w:eastAsia="en-US"/>
          <w14:ligatures w14:val="standardContextual"/>
        </w:rPr>
      </w:pPr>
      <w:r w:rsidRPr="00C23F49">
        <w:rPr>
          <w:rFonts w:ascii="Helvetica" w:eastAsiaTheme="minorHAnsi" w:hAnsi="Helvetica" w:cstheme="minorBidi"/>
          <w:kern w:val="2"/>
          <w:sz w:val="20"/>
          <w:szCs w:val="20"/>
          <w:lang w:val="en-US" w:eastAsia="en-US"/>
          <w14:ligatures w14:val="standardContextual"/>
        </w:rPr>
        <w:t>Other event studies, such as an interrupted time series analysis (ITSA), compare a trend before and after an event to explain how, and to what degree, the event changed a company or a security. This method may also be employed to see if the implementation of a particular policy measure has resulted in some statistically significant change after it has been put in place.</w:t>
      </w:r>
    </w:p>
    <w:p w14:paraId="547A0CD9" w14:textId="6D23BCAE" w:rsidR="00C23F49" w:rsidRPr="00C23F49" w:rsidRDefault="00C23F49" w:rsidP="001A0AEB">
      <w:pPr>
        <w:pStyle w:val="comp"/>
        <w:spacing w:before="0" w:beforeAutospacing="0"/>
        <w:jc w:val="both"/>
        <w:rPr>
          <w:rFonts w:ascii="Helvetica" w:eastAsiaTheme="minorHAnsi" w:hAnsi="Helvetica" w:cstheme="minorBidi"/>
          <w:kern w:val="2"/>
          <w:sz w:val="20"/>
          <w:szCs w:val="20"/>
          <w:lang w:val="en-US" w:eastAsia="en-US"/>
          <w14:ligatures w14:val="standardContextual"/>
        </w:rPr>
      </w:pPr>
      <w:r w:rsidRPr="00C23F49">
        <w:rPr>
          <w:rFonts w:ascii="Helvetica" w:eastAsiaTheme="minorHAnsi" w:hAnsi="Helvetica" w:cstheme="minorBidi"/>
          <w:kern w:val="2"/>
          <w:sz w:val="20"/>
          <w:szCs w:val="20"/>
          <w:lang w:val="en-US" w:eastAsia="en-US"/>
          <w14:ligatures w14:val="standardContextual"/>
        </w:rPr>
        <w:t xml:space="preserve">An event study conducted on a specific company examines any changes in its stock price and how it relates to a given event. It can be used as a macroeconomic tool, as well as </w:t>
      </w:r>
      <w:proofErr w:type="spellStart"/>
      <w:r w:rsidRPr="00C23F49">
        <w:rPr>
          <w:rFonts w:ascii="Helvetica" w:eastAsiaTheme="minorHAnsi" w:hAnsi="Helvetica" w:cstheme="minorBidi"/>
          <w:kern w:val="2"/>
          <w:sz w:val="20"/>
          <w:szCs w:val="20"/>
          <w:lang w:val="en-US" w:eastAsia="en-US"/>
          <w14:ligatures w14:val="standardContextual"/>
        </w:rPr>
        <w:t>analyzing</w:t>
      </w:r>
      <w:proofErr w:type="spellEnd"/>
      <w:r w:rsidRPr="00C23F49">
        <w:rPr>
          <w:rFonts w:ascii="Helvetica" w:eastAsiaTheme="minorHAnsi" w:hAnsi="Helvetica" w:cstheme="minorBidi"/>
          <w:kern w:val="2"/>
          <w:sz w:val="20"/>
          <w:szCs w:val="20"/>
          <w:lang w:val="en-US" w:eastAsia="en-US"/>
          <w14:ligatures w14:val="standardContextual"/>
        </w:rPr>
        <w:t xml:space="preserve"> the influence of an event on an industry, sector, or the overall market by looking at the impact of the change in supply and demand.</w:t>
      </w:r>
    </w:p>
    <w:p w14:paraId="1E92320A" w14:textId="657B2477" w:rsidR="00C23F49" w:rsidRPr="005D4697" w:rsidRDefault="005D4697" w:rsidP="001A0AEB">
      <w:pPr>
        <w:jc w:val="both"/>
        <w:rPr>
          <w:rFonts w:ascii="Helvetica" w:hAnsi="Helvetica"/>
          <w:b/>
          <w:bCs/>
          <w:sz w:val="20"/>
          <w:szCs w:val="20"/>
          <w:lang w:val="en-US"/>
        </w:rPr>
      </w:pPr>
      <w:r w:rsidRPr="005D4697">
        <w:rPr>
          <w:rFonts w:ascii="Helvetica" w:hAnsi="Helvetica"/>
          <w:b/>
          <w:bCs/>
          <w:sz w:val="20"/>
          <w:szCs w:val="20"/>
          <w:lang w:val="en-US"/>
        </w:rPr>
        <w:t>Event Study Methodology</w:t>
      </w:r>
    </w:p>
    <w:p w14:paraId="799736FF" w14:textId="77777777" w:rsidR="005D4697" w:rsidRDefault="005D4697" w:rsidP="001A0AEB">
      <w:pPr>
        <w:jc w:val="both"/>
        <w:rPr>
          <w:rFonts w:ascii="Helvetica" w:hAnsi="Helvetica"/>
          <w:sz w:val="20"/>
          <w:szCs w:val="20"/>
          <w:lang w:val="en-US"/>
        </w:rPr>
      </w:pPr>
    </w:p>
    <w:p w14:paraId="1BEEC283" w14:textId="28D5AD2E" w:rsidR="00C6395E"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C6395E">
        <w:rPr>
          <w:rFonts w:ascii="Helvetica" w:eastAsiaTheme="minorHAnsi" w:hAnsi="Helvetica" w:cstheme="minorBidi"/>
          <w:kern w:val="2"/>
          <w:sz w:val="20"/>
          <w:szCs w:val="20"/>
          <w:lang w:val="en-US" w:eastAsia="en-US"/>
          <w14:ligatures w14:val="standardContextual"/>
        </w:rPr>
        <w:t>Theoretically, a stock price takes into account all available information and expectations about the future. According to this theory, it is possible to analyze the effect of a specific event on a company by looking at the associated impact on the company's stock.</w:t>
      </w:r>
    </w:p>
    <w:p w14:paraId="2E34A047" w14:textId="77777777" w:rsidR="00C6395E" w:rsidRPr="00C6395E"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1A8DC67" w14:textId="48DAD87D" w:rsidR="00C6395E"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C6395E">
        <w:rPr>
          <w:rFonts w:ascii="Helvetica" w:eastAsiaTheme="minorHAnsi" w:hAnsi="Helvetica" w:cstheme="minorBidi"/>
          <w:kern w:val="2"/>
          <w:sz w:val="20"/>
          <w:szCs w:val="20"/>
          <w:lang w:val="en-US" w:eastAsia="en-US"/>
          <w14:ligatures w14:val="standardContextual"/>
        </w:rPr>
        <w:t>The market model is the most common analysis used for an event study. This methodology looks at the actual returns of a baseline reference market and tracks the correlation of a company's stock with the baseline.</w:t>
      </w:r>
    </w:p>
    <w:p w14:paraId="3DFE0BB5" w14:textId="77777777" w:rsidR="00C6395E" w:rsidRPr="00C6395E"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61C39D4" w14:textId="1191D217" w:rsidR="00C6395E"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C6395E">
        <w:rPr>
          <w:rFonts w:ascii="Helvetica" w:eastAsiaTheme="minorHAnsi" w:hAnsi="Helvetica" w:cstheme="minorBidi"/>
          <w:kern w:val="2"/>
          <w:sz w:val="20"/>
          <w:szCs w:val="20"/>
          <w:lang w:val="en-US" w:eastAsia="en-US"/>
          <w14:ligatures w14:val="standardContextual"/>
        </w:rPr>
        <w:t>The market model monitors the abnormal returns on the specific day of an event, studying the stock's returns and comparing them to the normal or average returns. The difference is the actual impact on the company. This technique can be used over time, analyzing consecutive days to understand how an event affects a stock over time.</w:t>
      </w:r>
    </w:p>
    <w:p w14:paraId="53F5F644" w14:textId="77777777" w:rsidR="00C6395E" w:rsidRPr="00C6395E"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ADED3CC" w14:textId="46174715" w:rsidR="005D4697" w:rsidRDefault="00C6395E"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sidRPr="00C6395E">
        <w:rPr>
          <w:rFonts w:ascii="Helvetica" w:eastAsiaTheme="minorHAnsi" w:hAnsi="Helvetica" w:cstheme="minorBidi"/>
          <w:kern w:val="2"/>
          <w:sz w:val="20"/>
          <w:szCs w:val="20"/>
          <w:lang w:val="en-US" w:eastAsia="en-US"/>
          <w14:ligatures w14:val="standardContextual"/>
        </w:rPr>
        <w:lastRenderedPageBreak/>
        <w:t>An event study can expose larger market patterns. Repeating the same model with similar events helps predict usual stock price reactions.</w:t>
      </w:r>
    </w:p>
    <w:p w14:paraId="7E102B11" w14:textId="77777777" w:rsidR="003E3F68" w:rsidRDefault="003E3F68"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3E759459" w14:textId="2800AFFA" w:rsidR="003E3F68" w:rsidRPr="000104E1" w:rsidRDefault="000104E1" w:rsidP="001A0AEB">
      <w:pPr>
        <w:pStyle w:val="comp"/>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Pr>
          <w:rFonts w:ascii="Helvetica" w:eastAsiaTheme="minorHAnsi" w:hAnsi="Helvetica" w:cstheme="minorBidi"/>
          <w:b/>
          <w:bCs/>
          <w:kern w:val="2"/>
          <w:sz w:val="20"/>
          <w:szCs w:val="20"/>
          <w:lang w:val="en-US" w:eastAsia="en-US"/>
          <w14:ligatures w14:val="standardContextual"/>
        </w:rPr>
        <w:t xml:space="preserve">Steps in the </w:t>
      </w:r>
      <w:r w:rsidRPr="000104E1">
        <w:rPr>
          <w:rFonts w:ascii="Helvetica" w:eastAsiaTheme="minorHAnsi" w:hAnsi="Helvetica" w:cstheme="minorBidi"/>
          <w:b/>
          <w:bCs/>
          <w:kern w:val="2"/>
          <w:sz w:val="20"/>
          <w:szCs w:val="20"/>
          <w:lang w:val="en-US" w:eastAsia="en-US"/>
          <w14:ligatures w14:val="standardContextual"/>
        </w:rPr>
        <w:t>Event Model</w:t>
      </w:r>
    </w:p>
    <w:p w14:paraId="5BD78AF2" w14:textId="77777777" w:rsidR="000104E1" w:rsidRDefault="000104E1"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12FF1F9" w14:textId="77777777" w:rsidR="00C645CA" w:rsidRDefault="000104E1"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Step 1: D</w:t>
      </w:r>
      <w:r w:rsidRPr="000104E1">
        <w:rPr>
          <w:rFonts w:ascii="Helvetica" w:eastAsiaTheme="minorHAnsi" w:hAnsi="Helvetica" w:cstheme="minorBidi"/>
          <w:kern w:val="2"/>
          <w:sz w:val="20"/>
          <w:szCs w:val="20"/>
          <w:lang w:val="en-US" w:eastAsia="en-US"/>
          <w14:ligatures w14:val="standardContextual"/>
        </w:rPr>
        <w:t>efin</w:t>
      </w:r>
      <w:r w:rsidR="00396BE1">
        <w:rPr>
          <w:rFonts w:ascii="Helvetica" w:eastAsiaTheme="minorHAnsi" w:hAnsi="Helvetica" w:cstheme="minorBidi"/>
          <w:kern w:val="2"/>
          <w:sz w:val="20"/>
          <w:szCs w:val="20"/>
          <w:lang w:val="en-US" w:eastAsia="en-US"/>
          <w14:ligatures w14:val="standardContextual"/>
        </w:rPr>
        <w:t>e</w:t>
      </w:r>
      <w:r w:rsidRPr="000104E1">
        <w:rPr>
          <w:rFonts w:ascii="Helvetica" w:eastAsiaTheme="minorHAnsi" w:hAnsi="Helvetica" w:cstheme="minorBidi"/>
          <w:kern w:val="2"/>
          <w:sz w:val="20"/>
          <w:szCs w:val="20"/>
          <w:lang w:val="en-US" w:eastAsia="en-US"/>
          <w14:ligatures w14:val="standardContextual"/>
        </w:rPr>
        <w:t xml:space="preserve"> the event</w:t>
      </w:r>
    </w:p>
    <w:p w14:paraId="2489319F" w14:textId="77777777" w:rsidR="00EA50B5" w:rsidRDefault="00C645CA"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Step 2: P</w:t>
      </w:r>
      <w:r w:rsidR="000104E1" w:rsidRPr="000104E1">
        <w:rPr>
          <w:rFonts w:ascii="Helvetica" w:eastAsiaTheme="minorHAnsi" w:hAnsi="Helvetica" w:cstheme="minorBidi"/>
          <w:kern w:val="2"/>
          <w:sz w:val="20"/>
          <w:szCs w:val="20"/>
          <w:lang w:val="en-US" w:eastAsia="en-US"/>
          <w14:ligatures w14:val="standardContextual"/>
        </w:rPr>
        <w:t xml:space="preserve">ick the companies that the event will theoretically impact. </w:t>
      </w:r>
    </w:p>
    <w:p w14:paraId="487C7FDA" w14:textId="77777777" w:rsidR="00816D7C" w:rsidRDefault="00EA50B5"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Step 3: N</w:t>
      </w:r>
      <w:r w:rsidR="000104E1" w:rsidRPr="000104E1">
        <w:rPr>
          <w:rFonts w:ascii="Helvetica" w:eastAsiaTheme="minorHAnsi" w:hAnsi="Helvetica" w:cstheme="minorBidi"/>
          <w:kern w:val="2"/>
          <w:sz w:val="20"/>
          <w:szCs w:val="20"/>
          <w:lang w:val="en-US" w:eastAsia="en-US"/>
          <w14:ligatures w14:val="standardContextual"/>
        </w:rPr>
        <w:t xml:space="preserve">ormal returns and abnormal returns should be determined using various models, such as the constant mean return model, the market model, various economic models, and so on. </w:t>
      </w:r>
    </w:p>
    <w:p w14:paraId="6D716E6E" w14:textId="5EE73B60" w:rsidR="000104E1" w:rsidRDefault="00816D7C"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Step 4: M</w:t>
      </w:r>
      <w:r w:rsidR="000104E1" w:rsidRPr="000104E1">
        <w:rPr>
          <w:rFonts w:ascii="Helvetica" w:eastAsiaTheme="minorHAnsi" w:hAnsi="Helvetica" w:cstheme="minorBidi"/>
          <w:kern w:val="2"/>
          <w:sz w:val="20"/>
          <w:szCs w:val="20"/>
          <w:lang w:val="en-US" w:eastAsia="en-US"/>
          <w14:ligatures w14:val="standardContextual"/>
        </w:rPr>
        <w:t>easure and analyze the abnormal returns.</w:t>
      </w:r>
    </w:p>
    <w:p w14:paraId="600C6B3F" w14:textId="77777777" w:rsidR="007A612C" w:rsidRDefault="007A612C" w:rsidP="007A612C">
      <w:pPr>
        <w:jc w:val="both"/>
        <w:rPr>
          <w:rFonts w:ascii="Helvetica" w:eastAsiaTheme="minorEastAsia" w:hAnsi="Helvetica"/>
          <w:sz w:val="20"/>
          <w:szCs w:val="20"/>
          <w:lang w:val="en-US"/>
        </w:rPr>
      </w:pPr>
    </w:p>
    <w:p w14:paraId="0EBB1448" w14:textId="15EC3A91" w:rsidR="00F738AE" w:rsidRPr="006A79D4" w:rsidRDefault="00F738AE" w:rsidP="007A612C">
      <w:pPr>
        <w:jc w:val="both"/>
        <w:rPr>
          <w:rFonts w:ascii="Helvetica" w:eastAsiaTheme="minorEastAsia" w:hAnsi="Helvetica"/>
          <w:b/>
          <w:bCs/>
          <w:sz w:val="20"/>
          <w:szCs w:val="20"/>
          <w:lang w:val="en-US"/>
        </w:rPr>
      </w:pPr>
      <w:r w:rsidRPr="006A79D4">
        <w:rPr>
          <w:rFonts w:ascii="Helvetica" w:eastAsiaTheme="minorEastAsia" w:hAnsi="Helvetica"/>
          <w:b/>
          <w:bCs/>
          <w:sz w:val="20"/>
          <w:szCs w:val="20"/>
          <w:lang w:val="en-US"/>
        </w:rPr>
        <w:t>Selection of Appropriate Model</w:t>
      </w:r>
    </w:p>
    <w:p w14:paraId="774AFD4B" w14:textId="77777777" w:rsidR="00F738AE" w:rsidRDefault="00F738AE" w:rsidP="007A612C">
      <w:pPr>
        <w:jc w:val="both"/>
        <w:rPr>
          <w:rFonts w:ascii="Helvetica" w:eastAsiaTheme="minorEastAsia" w:hAnsi="Helvetica"/>
          <w:sz w:val="20"/>
          <w:szCs w:val="20"/>
          <w:lang w:val="en-US"/>
        </w:rPr>
      </w:pPr>
    </w:p>
    <w:p w14:paraId="53289808" w14:textId="38F95100" w:rsidR="00F738AE" w:rsidRPr="0060780C" w:rsidRDefault="0060780C" w:rsidP="007A612C">
      <w:pPr>
        <w:jc w:val="both"/>
        <w:rPr>
          <w:rFonts w:ascii="Helvetica" w:hAnsi="Helvetica"/>
          <w:sz w:val="20"/>
          <w:szCs w:val="20"/>
          <w:lang w:val="en-US"/>
        </w:rPr>
      </w:pPr>
      <w:r w:rsidRPr="0060780C">
        <w:rPr>
          <w:rFonts w:ascii="Helvetica" w:hAnsi="Helvetica"/>
          <w:sz w:val="20"/>
          <w:szCs w:val="20"/>
          <w:lang w:val="en-US"/>
        </w:rPr>
        <w:t>Selecting the correct model for an event study depends on several factors, including data availability, the characteristics of the stocks or assets being analyzed, the nature of the event, and the specific research question being addressed. Here is a decision support summary to help you choose the most appropriate model:</w:t>
      </w:r>
    </w:p>
    <w:p w14:paraId="593D3DC1" w14:textId="77777777" w:rsidR="00F738AE" w:rsidRDefault="00F738AE" w:rsidP="007A612C">
      <w:pPr>
        <w:jc w:val="both"/>
        <w:rPr>
          <w:rFonts w:ascii="Helvetica" w:eastAsiaTheme="minorEastAsia" w:hAnsi="Helvetica"/>
          <w:sz w:val="20"/>
          <w:szCs w:val="20"/>
          <w:lang w:val="en-US"/>
        </w:rPr>
      </w:pPr>
    </w:p>
    <w:tbl>
      <w:tblPr>
        <w:tblStyle w:val="TableGrid"/>
        <w:tblW w:w="9067" w:type="dxa"/>
        <w:tblLook w:val="04A0" w:firstRow="1" w:lastRow="0" w:firstColumn="1" w:lastColumn="0" w:noHBand="0" w:noVBand="1"/>
      </w:tblPr>
      <w:tblGrid>
        <w:gridCol w:w="2122"/>
        <w:gridCol w:w="6945"/>
      </w:tblGrid>
      <w:tr w:rsidR="00F45787" w14:paraId="02E04BE2" w14:textId="77777777" w:rsidTr="002D1020">
        <w:tc>
          <w:tcPr>
            <w:tcW w:w="2122" w:type="dxa"/>
            <w:shd w:val="clear" w:color="auto" w:fill="002060"/>
          </w:tcPr>
          <w:p w14:paraId="3A923420" w14:textId="10EA25C4" w:rsidR="00F45787" w:rsidRDefault="00F45787" w:rsidP="007A612C">
            <w:pPr>
              <w:jc w:val="both"/>
              <w:rPr>
                <w:rFonts w:ascii="Helvetica" w:eastAsiaTheme="minorEastAsia" w:hAnsi="Helvetica"/>
                <w:sz w:val="20"/>
                <w:szCs w:val="20"/>
                <w:lang w:val="en-US"/>
              </w:rPr>
            </w:pPr>
            <w:r>
              <w:rPr>
                <w:rFonts w:ascii="Helvetica" w:eastAsiaTheme="minorEastAsia" w:hAnsi="Helvetica"/>
                <w:sz w:val="20"/>
                <w:szCs w:val="20"/>
                <w:lang w:val="en-US"/>
              </w:rPr>
              <w:t>Constraint / Factor</w:t>
            </w:r>
          </w:p>
        </w:tc>
        <w:tc>
          <w:tcPr>
            <w:tcW w:w="6945" w:type="dxa"/>
            <w:shd w:val="clear" w:color="auto" w:fill="002060"/>
          </w:tcPr>
          <w:p w14:paraId="4631E30D" w14:textId="09C953C4" w:rsidR="00F45787" w:rsidRDefault="00F45787" w:rsidP="007A612C">
            <w:pPr>
              <w:jc w:val="both"/>
              <w:rPr>
                <w:rFonts w:ascii="Helvetica" w:eastAsiaTheme="minorEastAsia" w:hAnsi="Helvetica"/>
                <w:sz w:val="20"/>
                <w:szCs w:val="20"/>
                <w:lang w:val="en-US"/>
              </w:rPr>
            </w:pPr>
            <w:r>
              <w:rPr>
                <w:rFonts w:ascii="Helvetica" w:eastAsiaTheme="minorEastAsia" w:hAnsi="Helvetica"/>
                <w:sz w:val="20"/>
                <w:szCs w:val="20"/>
                <w:lang w:val="en-US"/>
              </w:rPr>
              <w:t>Choice of Model</w:t>
            </w:r>
          </w:p>
        </w:tc>
      </w:tr>
      <w:tr w:rsidR="00F45787" w14:paraId="51C761A5" w14:textId="77777777" w:rsidTr="002D1020">
        <w:tc>
          <w:tcPr>
            <w:tcW w:w="2122" w:type="dxa"/>
          </w:tcPr>
          <w:p w14:paraId="71CBCEA0" w14:textId="3DDD8991" w:rsidR="00F45787" w:rsidRDefault="00D949AF" w:rsidP="007A612C">
            <w:pPr>
              <w:jc w:val="both"/>
              <w:rPr>
                <w:rFonts w:ascii="Helvetica" w:eastAsiaTheme="minorEastAsia" w:hAnsi="Helvetica"/>
                <w:sz w:val="20"/>
                <w:szCs w:val="20"/>
                <w:lang w:val="en-US"/>
              </w:rPr>
            </w:pPr>
            <w:r>
              <w:rPr>
                <w:rFonts w:ascii="Helvetica" w:eastAsiaTheme="minorEastAsia" w:hAnsi="Helvetica"/>
                <w:sz w:val="20"/>
                <w:szCs w:val="20"/>
                <w:lang w:val="en-US"/>
              </w:rPr>
              <w:t>Availability of Data</w:t>
            </w:r>
          </w:p>
        </w:tc>
        <w:tc>
          <w:tcPr>
            <w:tcW w:w="6945" w:type="dxa"/>
          </w:tcPr>
          <w:p w14:paraId="731D5398" w14:textId="77777777" w:rsidR="00C342A8" w:rsidRDefault="002D1020" w:rsidP="002D1020">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001E158A" w:rsidRPr="001E158A">
              <w:rPr>
                <w:rFonts w:ascii="Helvetica" w:eastAsiaTheme="minorHAnsi" w:hAnsi="Helvetica" w:cstheme="minorBidi"/>
                <w:kern w:val="2"/>
                <w:sz w:val="20"/>
                <w:szCs w:val="20"/>
                <w:lang w:val="en-US" w:eastAsia="en-US"/>
                <w14:ligatures w14:val="standardContextual"/>
              </w:rPr>
              <w:t xml:space="preserve">If you have </w:t>
            </w:r>
            <w:r w:rsidR="001E158A" w:rsidRPr="007A4F33">
              <w:rPr>
                <w:rFonts w:ascii="Helvetica" w:eastAsiaTheme="minorHAnsi" w:hAnsi="Helvetica" w:cstheme="minorBidi"/>
                <w:b/>
                <w:bCs/>
                <w:kern w:val="2"/>
                <w:sz w:val="20"/>
                <w:szCs w:val="20"/>
                <w:lang w:val="en-US" w:eastAsia="en-US"/>
                <w14:ligatures w14:val="standardContextual"/>
              </w:rPr>
              <w:t>limited data or missing values</w:t>
            </w:r>
            <w:r w:rsidR="001E158A" w:rsidRPr="001E158A">
              <w:rPr>
                <w:rFonts w:ascii="Helvetica" w:eastAsiaTheme="minorHAnsi" w:hAnsi="Helvetica" w:cstheme="minorBidi"/>
                <w:kern w:val="2"/>
                <w:sz w:val="20"/>
                <w:szCs w:val="20"/>
                <w:lang w:val="en-US" w:eastAsia="en-US"/>
                <w14:ligatures w14:val="standardContextual"/>
              </w:rPr>
              <w:t xml:space="preserve">, consider using </w:t>
            </w:r>
          </w:p>
          <w:p w14:paraId="04AEE528" w14:textId="77777777" w:rsidR="00BC7A76" w:rsidRDefault="00C342A8" w:rsidP="002D1020">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1.</w:t>
            </w:r>
            <w:r w:rsidRPr="00BC7A76">
              <w:rPr>
                <w:rFonts w:ascii="Helvetica" w:eastAsiaTheme="minorHAnsi" w:hAnsi="Helvetica" w:cstheme="minorBidi"/>
                <w:kern w:val="2"/>
                <w:sz w:val="20"/>
                <w:szCs w:val="20"/>
                <w:lang w:val="en-US" w:eastAsia="en-US"/>
                <w14:ligatures w14:val="standardContextual"/>
              </w:rPr>
              <w:t xml:space="preserve"> </w:t>
            </w:r>
            <w:r w:rsidR="001E158A" w:rsidRPr="00BB26F1">
              <w:rPr>
                <w:rFonts w:ascii="Helvetica" w:eastAsiaTheme="minorHAnsi" w:hAnsi="Helvetica" w:cstheme="minorBidi"/>
                <w:i/>
                <w:iCs/>
                <w:kern w:val="2"/>
                <w:sz w:val="20"/>
                <w:szCs w:val="20"/>
                <w:u w:val="single"/>
                <w:lang w:val="en-US" w:eastAsia="en-US"/>
                <w14:ligatures w14:val="standardContextual"/>
              </w:rPr>
              <w:t>Market Adjusted Model</w:t>
            </w:r>
            <w:r w:rsidR="001E158A" w:rsidRPr="001E158A">
              <w:rPr>
                <w:rFonts w:ascii="Helvetica" w:eastAsiaTheme="minorHAnsi" w:hAnsi="Helvetica" w:cstheme="minorBidi"/>
                <w:kern w:val="2"/>
                <w:sz w:val="20"/>
                <w:szCs w:val="20"/>
                <w:lang w:val="en-US" w:eastAsia="en-US"/>
                <w14:ligatures w14:val="standardContextual"/>
              </w:rPr>
              <w:t> or</w:t>
            </w:r>
          </w:p>
          <w:p w14:paraId="2151A81A" w14:textId="77777777" w:rsidR="00906FD6" w:rsidRDefault="00BC7A76" w:rsidP="002D1020">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2. </w:t>
            </w:r>
            <w:r w:rsidR="001E158A" w:rsidRPr="007B0074">
              <w:rPr>
                <w:rFonts w:ascii="Helvetica" w:eastAsiaTheme="minorHAnsi" w:hAnsi="Helvetica" w:cstheme="minorBidi"/>
                <w:i/>
                <w:iCs/>
                <w:kern w:val="2"/>
                <w:sz w:val="20"/>
                <w:szCs w:val="20"/>
                <w:u w:val="single"/>
                <w:lang w:val="en-US" w:eastAsia="en-US"/>
                <w14:ligatures w14:val="standardContextual"/>
              </w:rPr>
              <w:t>Comparison Period Mean Adjusted Model</w:t>
            </w:r>
          </w:p>
          <w:p w14:paraId="137E877A" w14:textId="54AAB3E1" w:rsidR="001E158A" w:rsidRPr="001E158A" w:rsidRDefault="001E158A" w:rsidP="002D1020">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E158A">
              <w:rPr>
                <w:rFonts w:ascii="Helvetica" w:eastAsiaTheme="minorHAnsi" w:hAnsi="Helvetica" w:cstheme="minorBidi"/>
                <w:kern w:val="2"/>
                <w:sz w:val="20"/>
                <w:szCs w:val="20"/>
                <w:lang w:val="en-US" w:eastAsia="en-US"/>
                <w14:ligatures w14:val="standardContextual"/>
              </w:rPr>
              <w:t>as they require fewer data points than other models.</w:t>
            </w:r>
          </w:p>
          <w:p w14:paraId="23B604B9" w14:textId="77777777" w:rsidR="00FB2CD1" w:rsidRDefault="00FB2CD1" w:rsidP="00FB2CD1">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B813B2B" w14:textId="77777777" w:rsidR="00CC4BCC" w:rsidRDefault="00E969BC" w:rsidP="00E969BC">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001E158A" w:rsidRPr="001E158A">
              <w:rPr>
                <w:rFonts w:ascii="Helvetica" w:eastAsiaTheme="minorHAnsi" w:hAnsi="Helvetica" w:cstheme="minorBidi"/>
                <w:kern w:val="2"/>
                <w:sz w:val="20"/>
                <w:szCs w:val="20"/>
                <w:lang w:val="en-US" w:eastAsia="en-US"/>
                <w14:ligatures w14:val="standardContextual"/>
              </w:rPr>
              <w:t xml:space="preserve">If you have access to </w:t>
            </w:r>
            <w:r w:rsidR="001E158A" w:rsidRPr="00A93365">
              <w:rPr>
                <w:rFonts w:ascii="Helvetica" w:eastAsiaTheme="minorHAnsi" w:hAnsi="Helvetica" w:cstheme="minorBidi"/>
                <w:b/>
                <w:bCs/>
                <w:kern w:val="2"/>
                <w:sz w:val="20"/>
                <w:szCs w:val="20"/>
                <w:lang w:val="en-US" w:eastAsia="en-US"/>
                <w14:ligatures w14:val="standardContextual"/>
              </w:rPr>
              <w:t>high-quality data</w:t>
            </w:r>
            <w:r w:rsidR="001E158A" w:rsidRPr="001E158A">
              <w:rPr>
                <w:rFonts w:ascii="Helvetica" w:eastAsiaTheme="minorHAnsi" w:hAnsi="Helvetica" w:cstheme="minorBidi"/>
                <w:kern w:val="2"/>
                <w:sz w:val="20"/>
                <w:szCs w:val="20"/>
                <w:lang w:val="en-US" w:eastAsia="en-US"/>
                <w14:ligatures w14:val="standardContextual"/>
              </w:rPr>
              <w:t xml:space="preserve">, including factor data, consider using more sophisticated models like </w:t>
            </w:r>
          </w:p>
          <w:p w14:paraId="2127FBD7" w14:textId="1C48E61A" w:rsidR="007137D0" w:rsidRDefault="00CC4BCC" w:rsidP="00E969BC">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1. </w:t>
            </w:r>
            <w:r w:rsidR="001E158A" w:rsidRPr="007331C0">
              <w:rPr>
                <w:rFonts w:ascii="Helvetica" w:eastAsiaTheme="minorHAnsi" w:hAnsi="Helvetica" w:cstheme="minorBidi"/>
                <w:i/>
                <w:iCs/>
                <w:kern w:val="2"/>
                <w:sz w:val="20"/>
                <w:szCs w:val="20"/>
                <w:u w:val="single"/>
                <w:lang w:val="en-US" w:eastAsia="en-US"/>
                <w14:ligatures w14:val="standardContextual"/>
              </w:rPr>
              <w:t>Fama-French 3 Factor Model</w:t>
            </w:r>
            <w:r w:rsidR="001E158A" w:rsidRPr="001E158A">
              <w:rPr>
                <w:rFonts w:ascii="Helvetica" w:eastAsiaTheme="minorHAnsi" w:hAnsi="Helvetica" w:cstheme="minorBidi"/>
                <w:kern w:val="2"/>
                <w:sz w:val="20"/>
                <w:szCs w:val="20"/>
                <w:lang w:val="en-US" w:eastAsia="en-US"/>
                <w14:ligatures w14:val="standardContextual"/>
              </w:rPr>
              <w:t xml:space="preserve"> or </w:t>
            </w:r>
          </w:p>
          <w:p w14:paraId="771DEAD8" w14:textId="4040937B" w:rsidR="00F45787" w:rsidRPr="001E158A" w:rsidRDefault="007137D0" w:rsidP="00E969BC">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2. </w:t>
            </w:r>
            <w:r w:rsidR="001E158A" w:rsidRPr="00A0776B">
              <w:rPr>
                <w:rFonts w:ascii="Helvetica" w:eastAsiaTheme="minorHAnsi" w:hAnsi="Helvetica" w:cstheme="minorBidi"/>
                <w:i/>
                <w:iCs/>
                <w:kern w:val="2"/>
                <w:sz w:val="20"/>
                <w:szCs w:val="20"/>
                <w:u w:val="single"/>
                <w:lang w:val="en-US" w:eastAsia="en-US"/>
                <w14:ligatures w14:val="standardContextual"/>
              </w:rPr>
              <w:t>Fama-French-Momentum 4 Factor Model</w:t>
            </w:r>
          </w:p>
        </w:tc>
      </w:tr>
      <w:tr w:rsidR="00F45787" w14:paraId="7DAA5EEA" w14:textId="77777777" w:rsidTr="002D1020">
        <w:tc>
          <w:tcPr>
            <w:tcW w:w="2122" w:type="dxa"/>
          </w:tcPr>
          <w:p w14:paraId="68F9D679" w14:textId="3C90F86E" w:rsidR="00F45787" w:rsidRDefault="007F5BAD" w:rsidP="007A612C">
            <w:pPr>
              <w:jc w:val="both"/>
              <w:rPr>
                <w:rFonts w:ascii="Helvetica" w:eastAsiaTheme="minorEastAsia" w:hAnsi="Helvetica"/>
                <w:sz w:val="20"/>
                <w:szCs w:val="20"/>
                <w:lang w:val="en-US"/>
              </w:rPr>
            </w:pPr>
            <w:r>
              <w:rPr>
                <w:rFonts w:ascii="Helvetica" w:eastAsiaTheme="minorEastAsia" w:hAnsi="Helvetica"/>
                <w:sz w:val="20"/>
                <w:szCs w:val="20"/>
                <w:lang w:val="en-US"/>
              </w:rPr>
              <w:t>Stock Characteristic</w:t>
            </w:r>
          </w:p>
        </w:tc>
        <w:tc>
          <w:tcPr>
            <w:tcW w:w="6945" w:type="dxa"/>
          </w:tcPr>
          <w:p w14:paraId="1E600EB5" w14:textId="3E0E08DF" w:rsidR="008A6C29" w:rsidRDefault="00976851" w:rsidP="00D8537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008A6C29" w:rsidRPr="008A6C29">
              <w:rPr>
                <w:rFonts w:ascii="Helvetica" w:eastAsiaTheme="minorHAnsi" w:hAnsi="Helvetica" w:cstheme="minorBidi"/>
                <w:kern w:val="2"/>
                <w:sz w:val="20"/>
                <w:szCs w:val="20"/>
                <w:lang w:val="en-US" w:eastAsia="en-US"/>
                <w14:ligatures w14:val="standardContextual"/>
              </w:rPr>
              <w:t>For stocks with infrequent trading or non-synchronous trading, consider using the </w:t>
            </w:r>
            <w:r w:rsidR="008A6C29" w:rsidRPr="001244C1">
              <w:rPr>
                <w:rFonts w:ascii="Helvetica" w:eastAsiaTheme="minorHAnsi" w:hAnsi="Helvetica" w:cstheme="minorBidi"/>
                <w:i/>
                <w:iCs/>
                <w:kern w:val="2"/>
                <w:sz w:val="20"/>
                <w:szCs w:val="20"/>
                <w:u w:val="single"/>
                <w:lang w:val="en-US" w:eastAsia="en-US"/>
                <w14:ligatures w14:val="standardContextual"/>
              </w:rPr>
              <w:t>Market Model with Scholes-</w:t>
            </w:r>
            <w:proofErr w:type="gramStart"/>
            <w:r w:rsidR="008A6C29" w:rsidRPr="001244C1">
              <w:rPr>
                <w:rFonts w:ascii="Helvetica" w:eastAsiaTheme="minorHAnsi" w:hAnsi="Helvetica" w:cstheme="minorBidi"/>
                <w:i/>
                <w:iCs/>
                <w:kern w:val="2"/>
                <w:sz w:val="20"/>
                <w:szCs w:val="20"/>
                <w:u w:val="single"/>
                <w:lang w:val="en-US" w:eastAsia="en-US"/>
                <w14:ligatures w14:val="standardContextual"/>
              </w:rPr>
              <w:t>Williams</w:t>
            </w:r>
            <w:proofErr w:type="gramEnd"/>
            <w:r w:rsidR="008A6C29" w:rsidRPr="001244C1">
              <w:rPr>
                <w:rFonts w:ascii="Helvetica" w:eastAsiaTheme="minorHAnsi" w:hAnsi="Helvetica" w:cstheme="minorBidi"/>
                <w:i/>
                <w:iCs/>
                <w:kern w:val="2"/>
                <w:sz w:val="20"/>
                <w:szCs w:val="20"/>
                <w:u w:val="single"/>
                <w:lang w:val="en-US" w:eastAsia="en-US"/>
                <w14:ligatures w14:val="standardContextual"/>
              </w:rPr>
              <w:t xml:space="preserve"> beta estimation</w:t>
            </w:r>
          </w:p>
          <w:p w14:paraId="1C149112" w14:textId="77777777" w:rsidR="00D8537D" w:rsidRPr="008A6C29" w:rsidRDefault="00D8537D" w:rsidP="00D8537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1B3C9199" w14:textId="7B49233B" w:rsidR="00F45787" w:rsidRPr="00B86E16" w:rsidRDefault="00B86E16" w:rsidP="00D8537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008A6C29" w:rsidRPr="008A6C29">
              <w:rPr>
                <w:rFonts w:ascii="Helvetica" w:eastAsiaTheme="minorHAnsi" w:hAnsi="Helvetica" w:cstheme="minorBidi"/>
                <w:kern w:val="2"/>
                <w:sz w:val="20"/>
                <w:szCs w:val="20"/>
                <w:lang w:val="en-US" w:eastAsia="en-US"/>
                <w14:ligatures w14:val="standardContextual"/>
              </w:rPr>
              <w:t xml:space="preserve">For stocks exhibiting time-varying volatility, consider using the </w:t>
            </w:r>
            <w:r w:rsidR="008A6C29" w:rsidRPr="007F3DA5">
              <w:rPr>
                <w:rFonts w:ascii="Helvetica" w:eastAsiaTheme="minorHAnsi" w:hAnsi="Helvetica" w:cstheme="minorBidi"/>
                <w:i/>
                <w:iCs/>
                <w:kern w:val="2"/>
                <w:sz w:val="20"/>
                <w:szCs w:val="20"/>
                <w:u w:val="single"/>
                <w:lang w:val="en-US" w:eastAsia="en-US"/>
                <w14:ligatures w14:val="standardContextual"/>
              </w:rPr>
              <w:t xml:space="preserve">Market Model with </w:t>
            </w:r>
            <w:proofErr w:type="gramStart"/>
            <w:r w:rsidR="008A6C29" w:rsidRPr="007F3DA5">
              <w:rPr>
                <w:rFonts w:ascii="Helvetica" w:eastAsiaTheme="minorHAnsi" w:hAnsi="Helvetica" w:cstheme="minorBidi"/>
                <w:i/>
                <w:iCs/>
                <w:kern w:val="2"/>
                <w:sz w:val="20"/>
                <w:szCs w:val="20"/>
                <w:u w:val="single"/>
                <w:lang w:val="en-US" w:eastAsia="en-US"/>
                <w14:ligatures w14:val="standardContextual"/>
              </w:rPr>
              <w:t>GARCH(</w:t>
            </w:r>
            <w:proofErr w:type="gramEnd"/>
            <w:r w:rsidR="008A6C29" w:rsidRPr="007F3DA5">
              <w:rPr>
                <w:rFonts w:ascii="Helvetica" w:eastAsiaTheme="minorHAnsi" w:hAnsi="Helvetica" w:cstheme="minorBidi"/>
                <w:i/>
                <w:iCs/>
                <w:kern w:val="2"/>
                <w:sz w:val="20"/>
                <w:szCs w:val="20"/>
                <w:u w:val="single"/>
                <w:lang w:val="en-US" w:eastAsia="en-US"/>
                <w14:ligatures w14:val="standardContextual"/>
              </w:rPr>
              <w:t xml:space="preserve">1, 1) or </w:t>
            </w:r>
            <w:proofErr w:type="gramStart"/>
            <w:r w:rsidR="008A6C29" w:rsidRPr="007F3DA5">
              <w:rPr>
                <w:rFonts w:ascii="Helvetica" w:eastAsiaTheme="minorHAnsi" w:hAnsi="Helvetica" w:cstheme="minorBidi"/>
                <w:i/>
                <w:iCs/>
                <w:kern w:val="2"/>
                <w:sz w:val="20"/>
                <w:szCs w:val="20"/>
                <w:u w:val="single"/>
                <w:lang w:val="en-US" w:eastAsia="en-US"/>
                <w14:ligatures w14:val="standardContextual"/>
              </w:rPr>
              <w:t>EGARCH(</w:t>
            </w:r>
            <w:proofErr w:type="gramEnd"/>
            <w:r w:rsidR="008A6C29" w:rsidRPr="007F3DA5">
              <w:rPr>
                <w:rFonts w:ascii="Helvetica" w:eastAsiaTheme="minorHAnsi" w:hAnsi="Helvetica" w:cstheme="minorBidi"/>
                <w:i/>
                <w:iCs/>
                <w:kern w:val="2"/>
                <w:sz w:val="20"/>
                <w:szCs w:val="20"/>
                <w:u w:val="single"/>
                <w:lang w:val="en-US" w:eastAsia="en-US"/>
                <w14:ligatures w14:val="standardContextual"/>
              </w:rPr>
              <w:t>1, 1) error estimation</w:t>
            </w:r>
          </w:p>
        </w:tc>
      </w:tr>
      <w:tr w:rsidR="00F45787" w14:paraId="30C9C5DC" w14:textId="77777777" w:rsidTr="002D1020">
        <w:tc>
          <w:tcPr>
            <w:tcW w:w="2122" w:type="dxa"/>
          </w:tcPr>
          <w:p w14:paraId="0C082A07" w14:textId="19039BE0" w:rsidR="00F45787" w:rsidRDefault="00CB6BF6" w:rsidP="007A612C">
            <w:pPr>
              <w:jc w:val="both"/>
              <w:rPr>
                <w:rFonts w:ascii="Helvetica" w:eastAsiaTheme="minorEastAsia" w:hAnsi="Helvetica"/>
                <w:sz w:val="20"/>
                <w:szCs w:val="20"/>
                <w:lang w:val="en-US"/>
              </w:rPr>
            </w:pPr>
            <w:r>
              <w:rPr>
                <w:rFonts w:ascii="Helvetica" w:eastAsiaTheme="minorEastAsia" w:hAnsi="Helvetica"/>
                <w:sz w:val="20"/>
                <w:szCs w:val="20"/>
                <w:lang w:val="en-US"/>
              </w:rPr>
              <w:t>Nature of Event</w:t>
            </w:r>
          </w:p>
        </w:tc>
        <w:tc>
          <w:tcPr>
            <w:tcW w:w="6945" w:type="dxa"/>
          </w:tcPr>
          <w:p w14:paraId="58C2A3E3" w14:textId="77777777" w:rsidR="00CB011B" w:rsidRDefault="00CB6BF6" w:rsidP="008544CE">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Pr="00CB6BF6">
              <w:rPr>
                <w:rFonts w:ascii="Helvetica" w:eastAsiaTheme="minorHAnsi" w:hAnsi="Helvetica" w:cstheme="minorBidi"/>
                <w:kern w:val="2"/>
                <w:sz w:val="20"/>
                <w:szCs w:val="20"/>
                <w:lang w:val="en-US" w:eastAsia="en-US"/>
                <w14:ligatures w14:val="standardContextual"/>
              </w:rPr>
              <w:t xml:space="preserve">If the event is expected to have a significant impact on the market or systematic risk factors, consider using multi-factor models like </w:t>
            </w:r>
          </w:p>
          <w:p w14:paraId="6A2F044B" w14:textId="2BCF8878" w:rsidR="00CB011B" w:rsidRDefault="00CB011B" w:rsidP="008544CE">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1. </w:t>
            </w:r>
            <w:r w:rsidR="00CB6BF6" w:rsidRPr="00376509">
              <w:rPr>
                <w:rFonts w:ascii="Helvetica" w:eastAsiaTheme="minorHAnsi" w:hAnsi="Helvetica" w:cstheme="minorBidi"/>
                <w:i/>
                <w:iCs/>
                <w:kern w:val="2"/>
                <w:sz w:val="20"/>
                <w:szCs w:val="20"/>
                <w:u w:val="single"/>
                <w:lang w:val="en-US" w:eastAsia="en-US"/>
                <w14:ligatures w14:val="standardContextual"/>
              </w:rPr>
              <w:t>Fama-French 3 Factor Model</w:t>
            </w:r>
            <w:r w:rsidR="00CB6BF6" w:rsidRPr="00CB6BF6">
              <w:rPr>
                <w:rFonts w:ascii="Helvetica" w:eastAsiaTheme="minorHAnsi" w:hAnsi="Helvetica" w:cstheme="minorBidi"/>
                <w:kern w:val="2"/>
                <w:sz w:val="20"/>
                <w:szCs w:val="20"/>
                <w:lang w:val="en-US" w:eastAsia="en-US"/>
                <w14:ligatures w14:val="standardContextual"/>
              </w:rPr>
              <w:t> or</w:t>
            </w:r>
          </w:p>
          <w:p w14:paraId="19A1B250" w14:textId="4050C6EF" w:rsidR="00CB6BF6" w:rsidRDefault="00CB011B" w:rsidP="008544CE">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2. </w:t>
            </w:r>
            <w:r w:rsidR="00CB6BF6" w:rsidRPr="00345CD5">
              <w:rPr>
                <w:rFonts w:ascii="Helvetica" w:eastAsiaTheme="minorHAnsi" w:hAnsi="Helvetica" w:cstheme="minorBidi"/>
                <w:i/>
                <w:iCs/>
                <w:kern w:val="2"/>
                <w:sz w:val="20"/>
                <w:szCs w:val="20"/>
                <w:u w:val="single"/>
                <w:lang w:val="en-US" w:eastAsia="en-US"/>
                <w14:ligatures w14:val="standardContextual"/>
              </w:rPr>
              <w:t>Fama-French-Momentum 4 Factor Model</w:t>
            </w:r>
          </w:p>
          <w:p w14:paraId="7EA16017" w14:textId="77777777" w:rsidR="008544CE" w:rsidRPr="00CB6BF6" w:rsidRDefault="008544CE" w:rsidP="008544CE">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293AE156" w14:textId="77777777" w:rsidR="00A8752F" w:rsidRDefault="00DE1939" w:rsidP="003C4A5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00CB6BF6" w:rsidRPr="00CB6BF6">
              <w:rPr>
                <w:rFonts w:ascii="Helvetica" w:eastAsiaTheme="minorHAnsi" w:hAnsi="Helvetica" w:cstheme="minorBidi"/>
                <w:kern w:val="2"/>
                <w:sz w:val="20"/>
                <w:szCs w:val="20"/>
                <w:lang w:val="en-US" w:eastAsia="en-US"/>
                <w14:ligatures w14:val="standardContextual"/>
              </w:rPr>
              <w:t>If the event is primarily firm-specific and is not expected to have a substantial impact on the market or systematic risk factors, simpler models like</w:t>
            </w:r>
          </w:p>
          <w:p w14:paraId="039BD700" w14:textId="05DB21E0" w:rsidR="0097108F" w:rsidRDefault="00A8752F" w:rsidP="003C4A5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1. </w:t>
            </w:r>
            <w:r w:rsidR="00CB6BF6" w:rsidRPr="006B384A">
              <w:rPr>
                <w:rFonts w:ascii="Helvetica" w:eastAsiaTheme="minorHAnsi" w:hAnsi="Helvetica" w:cstheme="minorBidi"/>
                <w:i/>
                <w:iCs/>
                <w:kern w:val="2"/>
                <w:sz w:val="20"/>
                <w:szCs w:val="20"/>
                <w:u w:val="single"/>
                <w:lang w:val="en-US" w:eastAsia="en-US"/>
                <w14:ligatures w14:val="standardContextual"/>
              </w:rPr>
              <w:t>Market Model</w:t>
            </w:r>
            <w:r w:rsidR="006B384A" w:rsidRPr="002E3D55">
              <w:rPr>
                <w:rFonts w:ascii="Helvetica" w:eastAsiaTheme="minorHAnsi" w:hAnsi="Helvetica" w:cstheme="minorBidi"/>
                <w:kern w:val="2"/>
                <w:sz w:val="20"/>
                <w:szCs w:val="20"/>
                <w:lang w:val="en-US" w:eastAsia="en-US"/>
                <w14:ligatures w14:val="standardContextual"/>
              </w:rPr>
              <w:t xml:space="preserve"> or</w:t>
            </w:r>
          </w:p>
          <w:p w14:paraId="58238E26" w14:textId="77777777" w:rsidR="0097108F" w:rsidRDefault="0097108F" w:rsidP="003C4A5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2. </w:t>
            </w:r>
            <w:r w:rsidR="00CB6BF6" w:rsidRPr="00495CC3">
              <w:rPr>
                <w:rFonts w:ascii="Helvetica" w:eastAsiaTheme="minorHAnsi" w:hAnsi="Helvetica" w:cstheme="minorBidi"/>
                <w:i/>
                <w:iCs/>
                <w:kern w:val="2"/>
                <w:sz w:val="20"/>
                <w:szCs w:val="20"/>
                <w:u w:val="single"/>
                <w:lang w:val="en-US" w:eastAsia="en-US"/>
                <w14:ligatures w14:val="standardContextual"/>
              </w:rPr>
              <w:t>Market Adjusted Model</w:t>
            </w:r>
            <w:r>
              <w:rPr>
                <w:rFonts w:ascii="Helvetica" w:eastAsiaTheme="minorHAnsi" w:hAnsi="Helvetica" w:cstheme="minorBidi"/>
                <w:kern w:val="2"/>
                <w:sz w:val="20"/>
                <w:szCs w:val="20"/>
                <w:lang w:val="en-US" w:eastAsia="en-US"/>
                <w14:ligatures w14:val="standardContextual"/>
              </w:rPr>
              <w:t xml:space="preserve"> </w:t>
            </w:r>
            <w:r w:rsidR="00CB6BF6" w:rsidRPr="00CB6BF6">
              <w:rPr>
                <w:rFonts w:ascii="Helvetica" w:eastAsiaTheme="minorHAnsi" w:hAnsi="Helvetica" w:cstheme="minorBidi"/>
                <w:kern w:val="2"/>
                <w:sz w:val="20"/>
                <w:szCs w:val="20"/>
                <w:lang w:val="en-US" w:eastAsia="en-US"/>
                <w14:ligatures w14:val="standardContextual"/>
              </w:rPr>
              <w:t>or </w:t>
            </w:r>
          </w:p>
          <w:p w14:paraId="3D137F8E" w14:textId="449D1FA3" w:rsidR="00F3425D" w:rsidRDefault="0097108F" w:rsidP="003C4A5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3. </w:t>
            </w:r>
            <w:r w:rsidR="00CB6BF6" w:rsidRPr="000D6B24">
              <w:rPr>
                <w:rFonts w:ascii="Helvetica" w:eastAsiaTheme="minorHAnsi" w:hAnsi="Helvetica" w:cstheme="minorBidi"/>
                <w:i/>
                <w:iCs/>
                <w:kern w:val="2"/>
                <w:sz w:val="20"/>
                <w:szCs w:val="20"/>
                <w:u w:val="single"/>
                <w:lang w:val="en-US" w:eastAsia="en-US"/>
                <w14:ligatures w14:val="standardContextual"/>
              </w:rPr>
              <w:t>Comparison Period Mean Adjusted Model</w:t>
            </w:r>
          </w:p>
          <w:p w14:paraId="47EED763" w14:textId="30113A03" w:rsidR="00F45787" w:rsidRPr="003C4A5D" w:rsidRDefault="00CB6BF6" w:rsidP="003C4A5D">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B6BF6">
              <w:rPr>
                <w:rFonts w:ascii="Helvetica" w:eastAsiaTheme="minorHAnsi" w:hAnsi="Helvetica" w:cstheme="minorBidi"/>
                <w:kern w:val="2"/>
                <w:sz w:val="20"/>
                <w:szCs w:val="20"/>
                <w:lang w:val="en-US" w:eastAsia="en-US"/>
                <w14:ligatures w14:val="standardContextual"/>
              </w:rPr>
              <w:t>might suffice.</w:t>
            </w:r>
          </w:p>
        </w:tc>
      </w:tr>
      <w:tr w:rsidR="00F45787" w14:paraId="00F43C87" w14:textId="77777777" w:rsidTr="002D1020">
        <w:tc>
          <w:tcPr>
            <w:tcW w:w="2122" w:type="dxa"/>
          </w:tcPr>
          <w:p w14:paraId="47B85B0B" w14:textId="05665D6F" w:rsidR="00F45787" w:rsidRDefault="004733B6" w:rsidP="007A612C">
            <w:pPr>
              <w:jc w:val="both"/>
              <w:rPr>
                <w:rFonts w:ascii="Helvetica" w:eastAsiaTheme="minorEastAsia" w:hAnsi="Helvetica"/>
                <w:sz w:val="20"/>
                <w:szCs w:val="20"/>
                <w:lang w:val="en-US"/>
              </w:rPr>
            </w:pPr>
            <w:r>
              <w:rPr>
                <w:rFonts w:ascii="Helvetica" w:eastAsiaTheme="minorEastAsia" w:hAnsi="Helvetica"/>
                <w:sz w:val="20"/>
                <w:szCs w:val="20"/>
                <w:lang w:val="en-US"/>
              </w:rPr>
              <w:t>Research question</w:t>
            </w:r>
          </w:p>
        </w:tc>
        <w:tc>
          <w:tcPr>
            <w:tcW w:w="6945" w:type="dxa"/>
          </w:tcPr>
          <w:p w14:paraId="434CB290" w14:textId="77777777" w:rsidR="00BE0C82" w:rsidRDefault="004257E1" w:rsidP="004257E1">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Pr="004257E1">
              <w:rPr>
                <w:rFonts w:ascii="Helvetica" w:eastAsiaTheme="minorHAnsi" w:hAnsi="Helvetica" w:cstheme="minorBidi"/>
                <w:kern w:val="2"/>
                <w:sz w:val="20"/>
                <w:szCs w:val="20"/>
                <w:lang w:val="en-US" w:eastAsia="en-US"/>
                <w14:ligatures w14:val="standardContextual"/>
              </w:rPr>
              <w:t xml:space="preserve">If your research question focuses on the impact of systematic risk factors or the sources of abnormal returns, consider using multi-factor models like </w:t>
            </w:r>
          </w:p>
          <w:p w14:paraId="247582FC" w14:textId="77777777" w:rsidR="00BE0C82" w:rsidRDefault="00BE0C82" w:rsidP="004257E1">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1. </w:t>
            </w:r>
            <w:r w:rsidR="004257E1" w:rsidRPr="0068770C">
              <w:rPr>
                <w:rFonts w:ascii="Helvetica" w:eastAsiaTheme="minorHAnsi" w:hAnsi="Helvetica" w:cstheme="minorBidi"/>
                <w:i/>
                <w:iCs/>
                <w:kern w:val="2"/>
                <w:sz w:val="20"/>
                <w:szCs w:val="20"/>
                <w:u w:val="single"/>
                <w:lang w:val="en-US" w:eastAsia="en-US"/>
                <w14:ligatures w14:val="standardContextual"/>
              </w:rPr>
              <w:t>Fama-French 3 Factor Model</w:t>
            </w:r>
            <w:r w:rsidR="004257E1" w:rsidRPr="004257E1">
              <w:rPr>
                <w:rFonts w:ascii="Helvetica" w:eastAsiaTheme="minorHAnsi" w:hAnsi="Helvetica" w:cstheme="minorBidi"/>
                <w:kern w:val="2"/>
                <w:sz w:val="20"/>
                <w:szCs w:val="20"/>
                <w:lang w:val="en-US" w:eastAsia="en-US"/>
                <w14:ligatures w14:val="standardContextual"/>
              </w:rPr>
              <w:t xml:space="preserve"> or </w:t>
            </w:r>
          </w:p>
          <w:p w14:paraId="09AFFBBC" w14:textId="1578B809" w:rsidR="004257E1" w:rsidRPr="004257E1" w:rsidRDefault="00BE0C82" w:rsidP="004257E1">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2. </w:t>
            </w:r>
            <w:r w:rsidR="004257E1" w:rsidRPr="00263057">
              <w:rPr>
                <w:rFonts w:ascii="Helvetica" w:eastAsiaTheme="minorHAnsi" w:hAnsi="Helvetica" w:cstheme="minorBidi"/>
                <w:i/>
                <w:iCs/>
                <w:kern w:val="2"/>
                <w:sz w:val="20"/>
                <w:szCs w:val="20"/>
                <w:u w:val="single"/>
                <w:lang w:val="en-US" w:eastAsia="en-US"/>
                <w14:ligatures w14:val="standardContextual"/>
              </w:rPr>
              <w:t>Fama-French-Momentum 4 Factor Model</w:t>
            </w:r>
          </w:p>
          <w:p w14:paraId="257C64FD" w14:textId="77777777" w:rsidR="004257E1" w:rsidRDefault="004257E1" w:rsidP="004257E1">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BB0AA3B" w14:textId="77777777" w:rsidR="00A76B7F" w:rsidRDefault="004257E1" w:rsidP="009E6665">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 </w:t>
            </w:r>
            <w:r w:rsidRPr="004257E1">
              <w:rPr>
                <w:rFonts w:ascii="Helvetica" w:eastAsiaTheme="minorHAnsi" w:hAnsi="Helvetica" w:cstheme="minorBidi"/>
                <w:kern w:val="2"/>
                <w:sz w:val="20"/>
                <w:szCs w:val="20"/>
                <w:lang w:val="en-US" w:eastAsia="en-US"/>
                <w14:ligatures w14:val="standardContextual"/>
              </w:rPr>
              <w:t xml:space="preserve">If your research question is mainly concerned with the existence or magnitude of abnormal returns, simpler models like </w:t>
            </w:r>
          </w:p>
          <w:p w14:paraId="2ED67C0A" w14:textId="59192995" w:rsidR="00080864" w:rsidRDefault="00A76B7F" w:rsidP="009E6665">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1. </w:t>
            </w:r>
            <w:r w:rsidR="004257E1" w:rsidRPr="00174ED3">
              <w:rPr>
                <w:rFonts w:ascii="Helvetica" w:eastAsiaTheme="minorHAnsi" w:hAnsi="Helvetica" w:cstheme="minorBidi"/>
                <w:i/>
                <w:iCs/>
                <w:kern w:val="2"/>
                <w:sz w:val="20"/>
                <w:szCs w:val="20"/>
                <w:u w:val="single"/>
                <w:lang w:val="en-US" w:eastAsia="en-US"/>
                <w14:ligatures w14:val="standardContextual"/>
              </w:rPr>
              <w:t>Market Model</w:t>
            </w:r>
            <w:r w:rsidR="00080864">
              <w:rPr>
                <w:rFonts w:ascii="Helvetica" w:eastAsiaTheme="minorHAnsi" w:hAnsi="Helvetica" w:cstheme="minorBidi"/>
                <w:kern w:val="2"/>
                <w:sz w:val="20"/>
                <w:szCs w:val="20"/>
                <w:lang w:val="en-US" w:eastAsia="en-US"/>
                <w14:ligatures w14:val="standardContextual"/>
              </w:rPr>
              <w:t xml:space="preserve"> or </w:t>
            </w:r>
          </w:p>
          <w:p w14:paraId="03958A16" w14:textId="52A4381D" w:rsidR="00314FD6" w:rsidRDefault="006473EA" w:rsidP="009E6665">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2. </w:t>
            </w:r>
            <w:r w:rsidR="004257E1" w:rsidRPr="00174ED3">
              <w:rPr>
                <w:rFonts w:ascii="Helvetica" w:eastAsiaTheme="minorHAnsi" w:hAnsi="Helvetica" w:cstheme="minorBidi"/>
                <w:i/>
                <w:iCs/>
                <w:kern w:val="2"/>
                <w:sz w:val="20"/>
                <w:szCs w:val="20"/>
                <w:u w:val="single"/>
                <w:lang w:val="en-US" w:eastAsia="en-US"/>
                <w14:ligatures w14:val="standardContextual"/>
              </w:rPr>
              <w:t>Market Adjusted Model</w:t>
            </w:r>
            <w:r w:rsidR="00314FD6">
              <w:rPr>
                <w:rFonts w:ascii="Helvetica" w:eastAsiaTheme="minorHAnsi" w:hAnsi="Helvetica" w:cstheme="minorBidi"/>
                <w:kern w:val="2"/>
                <w:sz w:val="20"/>
                <w:szCs w:val="20"/>
                <w:lang w:val="en-US" w:eastAsia="en-US"/>
                <w14:ligatures w14:val="standardContextual"/>
              </w:rPr>
              <w:t xml:space="preserve"> </w:t>
            </w:r>
            <w:r w:rsidR="004257E1" w:rsidRPr="004257E1">
              <w:rPr>
                <w:rFonts w:ascii="Helvetica" w:eastAsiaTheme="minorHAnsi" w:hAnsi="Helvetica" w:cstheme="minorBidi"/>
                <w:kern w:val="2"/>
                <w:sz w:val="20"/>
                <w:szCs w:val="20"/>
                <w:lang w:val="en-US" w:eastAsia="en-US"/>
                <w14:ligatures w14:val="standardContextual"/>
              </w:rPr>
              <w:t>or </w:t>
            </w:r>
          </w:p>
          <w:p w14:paraId="19B6D8CD" w14:textId="6672F205" w:rsidR="00B40315" w:rsidRDefault="00314FD6" w:rsidP="009E6665">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3. </w:t>
            </w:r>
            <w:r w:rsidR="004257E1" w:rsidRPr="00174ED3">
              <w:rPr>
                <w:rFonts w:ascii="Helvetica" w:eastAsiaTheme="minorHAnsi" w:hAnsi="Helvetica" w:cstheme="minorBidi"/>
                <w:i/>
                <w:iCs/>
                <w:kern w:val="2"/>
                <w:sz w:val="20"/>
                <w:szCs w:val="20"/>
                <w:u w:val="single"/>
                <w:lang w:val="en-US" w:eastAsia="en-US"/>
                <w14:ligatures w14:val="standardContextual"/>
              </w:rPr>
              <w:t>Comparison Period Mean Adjusted Model</w:t>
            </w:r>
            <w:r w:rsidR="004257E1" w:rsidRPr="004257E1">
              <w:rPr>
                <w:rFonts w:ascii="Helvetica" w:eastAsiaTheme="minorHAnsi" w:hAnsi="Helvetica" w:cstheme="minorBidi"/>
                <w:kern w:val="2"/>
                <w:sz w:val="20"/>
                <w:szCs w:val="20"/>
                <w:lang w:val="en-US" w:eastAsia="en-US"/>
                <w14:ligatures w14:val="standardContextual"/>
              </w:rPr>
              <w:t> </w:t>
            </w:r>
          </w:p>
          <w:p w14:paraId="66AC743D" w14:textId="16A7F4E3" w:rsidR="00F45787" w:rsidRPr="009E6665" w:rsidRDefault="004257E1" w:rsidP="009E6665">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257E1">
              <w:rPr>
                <w:rFonts w:ascii="Helvetica" w:eastAsiaTheme="minorHAnsi" w:hAnsi="Helvetica" w:cstheme="minorBidi"/>
                <w:kern w:val="2"/>
                <w:sz w:val="20"/>
                <w:szCs w:val="20"/>
                <w:lang w:val="en-US" w:eastAsia="en-US"/>
                <w14:ligatures w14:val="standardContextual"/>
              </w:rPr>
              <w:t>might be appropriate.</w:t>
            </w:r>
          </w:p>
        </w:tc>
      </w:tr>
    </w:tbl>
    <w:p w14:paraId="67D5BEC4" w14:textId="77777777" w:rsidR="00F738AE" w:rsidRDefault="00F738AE" w:rsidP="007A612C">
      <w:pPr>
        <w:jc w:val="both"/>
        <w:rPr>
          <w:rFonts w:ascii="Helvetica" w:eastAsiaTheme="minorEastAsia" w:hAnsi="Helvetica"/>
          <w:sz w:val="20"/>
          <w:szCs w:val="20"/>
          <w:lang w:val="en-US"/>
        </w:rPr>
      </w:pPr>
    </w:p>
    <w:p w14:paraId="4D8A8172" w14:textId="77777777" w:rsidR="00563780" w:rsidRPr="007957CD" w:rsidRDefault="00563780" w:rsidP="00563780">
      <w:pPr>
        <w:pStyle w:val="comp"/>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7957CD">
        <w:rPr>
          <w:rFonts w:ascii="Helvetica" w:eastAsiaTheme="minorHAnsi" w:hAnsi="Helvetica" w:cstheme="minorBidi"/>
          <w:b/>
          <w:bCs/>
          <w:kern w:val="2"/>
          <w:sz w:val="20"/>
          <w:szCs w:val="20"/>
          <w:lang w:val="en-US" w:eastAsia="en-US"/>
          <w14:ligatures w14:val="standardContextual"/>
        </w:rPr>
        <w:lastRenderedPageBreak/>
        <w:t xml:space="preserve">Models </w:t>
      </w:r>
      <w:r>
        <w:rPr>
          <w:rFonts w:ascii="Helvetica" w:eastAsiaTheme="minorHAnsi" w:hAnsi="Helvetica" w:cstheme="minorBidi"/>
          <w:b/>
          <w:bCs/>
          <w:kern w:val="2"/>
          <w:sz w:val="20"/>
          <w:szCs w:val="20"/>
          <w:lang w:val="en-US" w:eastAsia="en-US"/>
          <w14:ligatures w14:val="standardContextual"/>
        </w:rPr>
        <w:t>used for Event Studies</w:t>
      </w:r>
    </w:p>
    <w:p w14:paraId="5594D133" w14:textId="77777777" w:rsidR="00563780" w:rsidRDefault="00563780" w:rsidP="00563780">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A1B35B1" w14:textId="7506D930" w:rsidR="00563780" w:rsidRDefault="00D11C27" w:rsidP="00563780">
      <w:pPr>
        <w:jc w:val="both"/>
        <w:rPr>
          <w:rFonts w:ascii="Helvetica" w:eastAsiaTheme="minorEastAsia" w:hAnsi="Helvetica"/>
          <w:sz w:val="20"/>
          <w:szCs w:val="20"/>
          <w:lang w:val="en-US"/>
        </w:rPr>
      </w:pPr>
      <w:r>
        <w:rPr>
          <w:rFonts w:ascii="Helvetica" w:eastAsiaTheme="minorEastAsia" w:hAnsi="Helvetica"/>
          <w:sz w:val="20"/>
          <w:szCs w:val="20"/>
          <w:lang w:val="en-US"/>
        </w:rPr>
        <w:t>The elaboration of each model can be seen below.</w:t>
      </w:r>
    </w:p>
    <w:p w14:paraId="1D006428" w14:textId="77777777" w:rsidR="00A1668D" w:rsidRDefault="00A1668D" w:rsidP="00D30D34">
      <w:pPr>
        <w:jc w:val="both"/>
        <w:rPr>
          <w:rFonts w:ascii="Helvetica" w:eastAsiaTheme="minorEastAsia" w:hAnsi="Helvetica"/>
          <w:sz w:val="20"/>
          <w:szCs w:val="20"/>
          <w:lang w:val="en-US"/>
        </w:rPr>
      </w:pPr>
    </w:p>
    <w:p w14:paraId="621B8FC2" w14:textId="1E547275" w:rsidR="00A1668D" w:rsidRPr="00A76D61" w:rsidRDefault="00A76D61" w:rsidP="00D30D34">
      <w:pPr>
        <w:jc w:val="both"/>
        <w:rPr>
          <w:rFonts w:ascii="Helvetica" w:eastAsiaTheme="minorEastAsia" w:hAnsi="Helvetica"/>
          <w:sz w:val="20"/>
          <w:szCs w:val="20"/>
          <w:u w:val="single"/>
          <w:lang w:val="en-US"/>
        </w:rPr>
      </w:pPr>
      <w:r w:rsidRPr="00A76D61">
        <w:rPr>
          <w:rFonts w:ascii="Helvetica" w:eastAsiaTheme="minorEastAsia" w:hAnsi="Helvetica"/>
          <w:sz w:val="20"/>
          <w:szCs w:val="20"/>
          <w:u w:val="single"/>
          <w:lang w:val="en-US"/>
        </w:rPr>
        <w:t xml:space="preserve">1. </w:t>
      </w:r>
      <w:r w:rsidR="00500DE5" w:rsidRPr="00A76D61">
        <w:rPr>
          <w:rFonts w:ascii="Helvetica" w:eastAsiaTheme="minorEastAsia" w:hAnsi="Helvetica"/>
          <w:sz w:val="20"/>
          <w:szCs w:val="20"/>
          <w:u w:val="single"/>
          <w:lang w:val="en-US"/>
        </w:rPr>
        <w:t>Market Model</w:t>
      </w:r>
    </w:p>
    <w:p w14:paraId="026E115B" w14:textId="77777777" w:rsidR="00500DE5" w:rsidRDefault="00500DE5" w:rsidP="00D30D34">
      <w:pPr>
        <w:jc w:val="both"/>
        <w:rPr>
          <w:rFonts w:ascii="Helvetica" w:eastAsiaTheme="minorEastAsia" w:hAnsi="Helvetica"/>
          <w:sz w:val="20"/>
          <w:szCs w:val="20"/>
          <w:lang w:val="en-US"/>
        </w:rPr>
      </w:pPr>
    </w:p>
    <w:p w14:paraId="3E066A4C" w14:textId="02A094FB" w:rsidR="008C0B8C" w:rsidRDefault="008C0B8C" w:rsidP="00D30D34">
      <w:pPr>
        <w:jc w:val="both"/>
        <w:rPr>
          <w:rFonts w:ascii="Helvetica" w:eastAsiaTheme="minorEastAsia" w:hAnsi="Helvetica"/>
          <w:sz w:val="20"/>
          <w:szCs w:val="20"/>
          <w:lang w:val="en-US"/>
        </w:rPr>
      </w:pPr>
      <w:r w:rsidRPr="008C0B8C">
        <w:rPr>
          <w:rFonts w:ascii="Helvetica" w:eastAsiaTheme="minorEastAsia" w:hAnsi="Helvetica"/>
          <w:sz w:val="20"/>
          <w:szCs w:val="20"/>
          <w:lang w:val="en-US"/>
        </w:rPr>
        <w:t>The Market Model is a standard benchmark used in event studies to estimate a security’s expected return and isolate the abnormal return attributable to a specific event. The model assumes that a stock’s return is driven primarily by overall market movements, with any remaining variation reflecting firm-specific factors. Expected returns are estimated using a linear regression over a pre-event estimation window.</w:t>
      </w:r>
      <w:r w:rsidR="009D3961">
        <w:rPr>
          <w:rFonts w:ascii="Helvetica" w:eastAsiaTheme="minorEastAsia" w:hAnsi="Helvetica"/>
          <w:sz w:val="20"/>
          <w:szCs w:val="20"/>
          <w:lang w:val="en-US"/>
        </w:rPr>
        <w:t xml:space="preserve"> </w:t>
      </w:r>
      <w:r w:rsidRPr="008C0B8C">
        <w:rPr>
          <w:rFonts w:ascii="Helvetica" w:eastAsiaTheme="minorEastAsia" w:hAnsi="Helvetica"/>
          <w:sz w:val="20"/>
          <w:szCs w:val="20"/>
          <w:lang w:val="en-US"/>
        </w:rPr>
        <w:t>The Market Model is specified as:</w:t>
      </w:r>
    </w:p>
    <w:p w14:paraId="24061FE2" w14:textId="77777777" w:rsidR="00B03852" w:rsidRPr="008C0B8C" w:rsidRDefault="00B03852" w:rsidP="00D30D34">
      <w:pPr>
        <w:jc w:val="both"/>
        <w:rPr>
          <w:rFonts w:ascii="Helvetica" w:eastAsiaTheme="minorEastAsia" w:hAnsi="Helvetica"/>
          <w:sz w:val="20"/>
          <w:szCs w:val="20"/>
          <w:lang w:val="en-US"/>
        </w:rPr>
      </w:pPr>
    </w:p>
    <w:p w14:paraId="1728C0BA" w14:textId="77777777" w:rsidR="008C0B8C" w:rsidRPr="008C0B8C" w:rsidRDefault="008C0B8C" w:rsidP="00D30D34">
      <w:pPr>
        <w:jc w:val="both"/>
        <w:rPr>
          <w:rFonts w:ascii="Helvetica" w:eastAsiaTheme="minorEastAsia" w:hAnsi="Helvetica"/>
          <w:sz w:val="20"/>
          <w:szCs w:val="20"/>
          <w:lang w:val="en-US"/>
        </w:rPr>
      </w:pPr>
      <m:oMathPara>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sub>
          </m:sSub>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11764E41" w14:textId="77777777" w:rsidR="008C0B8C" w:rsidRPr="008C0B8C" w:rsidRDefault="008C0B8C" w:rsidP="00D30D34">
      <w:pPr>
        <w:jc w:val="both"/>
        <w:rPr>
          <w:rFonts w:ascii="Helvetica" w:eastAsiaTheme="minorEastAsia" w:hAnsi="Helvetica"/>
          <w:sz w:val="20"/>
          <w:szCs w:val="20"/>
          <w:lang w:val="en-US"/>
        </w:rPr>
      </w:pPr>
      <w:r w:rsidRPr="008C0B8C">
        <w:rPr>
          <w:rFonts w:ascii="Helvetica" w:eastAsiaTheme="minorEastAsia" w:hAnsi="Helvetica"/>
          <w:sz w:val="20"/>
          <w:szCs w:val="20"/>
          <w:lang w:val="en-US"/>
        </w:rPr>
        <w:t>where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8C0B8C">
        <w:rPr>
          <w:rFonts w:ascii="Helvetica" w:eastAsiaTheme="minorEastAsia" w:hAnsi="Helvetica"/>
          <w:sz w:val="20"/>
          <w:szCs w:val="20"/>
          <w:lang w:val="en-US"/>
        </w:rPr>
        <w:t> denotes the return of security </w:t>
      </w:r>
      <m:oMath>
        <m:r>
          <w:rPr>
            <w:rFonts w:ascii="Cambria Math" w:eastAsiaTheme="minorEastAsia" w:hAnsi="Cambria Math"/>
            <w:sz w:val="20"/>
            <w:szCs w:val="20"/>
            <w:lang w:val="en-US"/>
          </w:rPr>
          <m:t>i</m:t>
        </m:r>
      </m:oMath>
      <w:r w:rsidRPr="008C0B8C">
        <w:rPr>
          <w:rFonts w:ascii="Helvetica" w:eastAsiaTheme="minorEastAsia" w:hAnsi="Helvetica"/>
          <w:sz w:val="20"/>
          <w:szCs w:val="20"/>
          <w:lang w:val="en-US"/>
        </w:rPr>
        <w:t> at time </w:t>
      </w:r>
      <m:oMath>
        <m:r>
          <w:rPr>
            <w:rFonts w:ascii="Cambria Math" w:eastAsiaTheme="minorEastAsia" w:hAnsi="Cambria Math"/>
            <w:sz w:val="20"/>
            <w:szCs w:val="20"/>
            <w:lang w:val="en-US"/>
          </w:rPr>
          <m:t>t</m:t>
        </m:r>
      </m:oMath>
      <w:r w:rsidRPr="008C0B8C">
        <w:rPr>
          <w:rFonts w:ascii="Helvetica" w:eastAsiaTheme="minorEastAsia" w:hAnsi="Helvetica"/>
          <w:sz w:val="20"/>
          <w:szCs w:val="20"/>
          <w:lang w:val="en-US"/>
        </w:rPr>
        <w:t>,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8C0B8C">
        <w:rPr>
          <w:rFonts w:ascii="Helvetica" w:eastAsiaTheme="minorEastAsia" w:hAnsi="Helvetica"/>
          <w:sz w:val="20"/>
          <w:szCs w:val="20"/>
          <w:lang w:val="en-US"/>
        </w:rPr>
        <w:t> is the corresponding market return,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oMath>
      <w:r w:rsidRPr="008C0B8C">
        <w:rPr>
          <w:rFonts w:ascii="Helvetica" w:eastAsiaTheme="minorEastAsia" w:hAnsi="Helvetica"/>
          <w:sz w:val="20"/>
          <w:szCs w:val="20"/>
          <w:lang w:val="en-US"/>
        </w:rPr>
        <w:t> captures the average return unexplained by market movements,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sub>
        </m:sSub>
      </m:oMath>
      <w:r w:rsidRPr="008C0B8C">
        <w:rPr>
          <w:rFonts w:ascii="Helvetica" w:eastAsiaTheme="minorEastAsia" w:hAnsi="Helvetica"/>
          <w:sz w:val="20"/>
          <w:szCs w:val="20"/>
          <w:lang w:val="en-US"/>
        </w:rPr>
        <w:t> measures the sensitivity of the security’s return to market fluctuations, and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8C0B8C">
        <w:rPr>
          <w:rFonts w:ascii="Helvetica" w:eastAsiaTheme="minorEastAsia" w:hAnsi="Helvetica"/>
          <w:sz w:val="20"/>
          <w:szCs w:val="20"/>
          <w:lang w:val="en-US"/>
        </w:rPr>
        <w:t> is an idiosyncratic error term.</w:t>
      </w:r>
    </w:p>
    <w:p w14:paraId="2A1FB9D6" w14:textId="77777777" w:rsidR="00BD516C" w:rsidRPr="00BD516C" w:rsidRDefault="00BD516C" w:rsidP="00D30D34">
      <w:pPr>
        <w:pStyle w:val="NormalWeb"/>
        <w:jc w:val="both"/>
        <w:rPr>
          <w:rFonts w:ascii="Helvetica" w:eastAsiaTheme="minorEastAsia" w:hAnsi="Helvetica" w:cstheme="minorBidi"/>
          <w:kern w:val="2"/>
          <w:sz w:val="20"/>
          <w:szCs w:val="20"/>
          <w:lang w:val="en-US" w:eastAsia="en-US"/>
          <w14:ligatures w14:val="standardContextual"/>
        </w:rPr>
      </w:pPr>
      <w:r w:rsidRPr="00BD516C">
        <w:rPr>
          <w:rFonts w:ascii="Helvetica" w:eastAsiaTheme="minorEastAsia" w:hAnsi="Helvetica" w:cstheme="minorBidi"/>
          <w:kern w:val="2"/>
          <w:sz w:val="20"/>
          <w:szCs w:val="20"/>
          <w:lang w:val="en-US" w:eastAsia="en-US"/>
          <w14:ligatures w14:val="standardContextual"/>
        </w:rPr>
        <w:t>The intercept </w:t>
      </w:r>
      <m:oMath>
        <m:sSub>
          <m:sSubPr>
            <m:ctrlPr>
              <w:rPr>
                <w:rFonts w:ascii="Cambria Math" w:eastAsiaTheme="minorEastAsia" w:hAnsi="Cambria Math" w:cstheme="minorBid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α</m:t>
            </m:r>
          </m:e>
          <m:sub>
            <m:r>
              <w:rPr>
                <w:rFonts w:ascii="Cambria Math" w:eastAsiaTheme="minorEastAsia" w:hAnsi="Cambria Math" w:cstheme="minorBidi"/>
                <w:kern w:val="2"/>
                <w:sz w:val="20"/>
                <w:szCs w:val="20"/>
                <w:lang w:val="en-US" w:eastAsia="en-US"/>
                <w14:ligatures w14:val="standardContextual"/>
              </w:rPr>
              <m:t>i</m:t>
            </m:r>
          </m:sub>
        </m:sSub>
      </m:oMath>
      <w:r w:rsidRPr="00BD516C">
        <w:rPr>
          <w:rFonts w:ascii="Helvetica" w:eastAsiaTheme="minorEastAsia" w:hAnsi="Helvetica" w:cstheme="minorBidi"/>
          <w:kern w:val="2"/>
          <w:sz w:val="20"/>
          <w:szCs w:val="20"/>
          <w:lang w:val="en-US" w:eastAsia="en-US"/>
          <w14:ligatures w14:val="standardContextual"/>
        </w:rPr>
        <w:t> represents the stock’s expected return when the market return is zero and reflects security-specific characteristics not captured by market movements. A positive (negative) </w:t>
      </w:r>
      <m:oMath>
        <m:sSub>
          <m:sSubPr>
            <m:ctrlPr>
              <w:rPr>
                <w:rFonts w:ascii="Cambria Math" w:eastAsiaTheme="minorEastAsia" w:hAnsi="Cambria Math" w:cstheme="minorBid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α</m:t>
            </m:r>
          </m:e>
          <m:sub>
            <m:r>
              <w:rPr>
                <w:rFonts w:ascii="Cambria Math" w:eastAsiaTheme="minorEastAsia" w:hAnsi="Cambria Math" w:cstheme="minorBidi"/>
                <w:kern w:val="2"/>
                <w:sz w:val="20"/>
                <w:szCs w:val="20"/>
                <w:lang w:val="en-US" w:eastAsia="en-US"/>
                <w14:ligatures w14:val="standardContextual"/>
              </w:rPr>
              <m:t>i</m:t>
            </m:r>
          </m:sub>
        </m:sSub>
      </m:oMath>
      <w:r w:rsidRPr="00BD516C">
        <w:rPr>
          <w:rFonts w:ascii="Helvetica" w:eastAsiaTheme="minorEastAsia" w:hAnsi="Helvetica" w:cstheme="minorBidi"/>
          <w:kern w:val="2"/>
          <w:sz w:val="20"/>
          <w:szCs w:val="20"/>
          <w:lang w:val="en-US" w:eastAsia="en-US"/>
          <w14:ligatures w14:val="standardContextual"/>
        </w:rPr>
        <w:t> implies expected outperformance (underperformance) relative to the market under neutral market conditions. The slope coefficient </w:t>
      </w:r>
      <m:oMath>
        <m:sSub>
          <m:sSubPr>
            <m:ctrlPr>
              <w:rPr>
                <w:rFonts w:ascii="Cambria Math" w:eastAsiaTheme="minorEastAsia" w:hAnsi="Cambria Math" w:cstheme="minorBid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β</m:t>
            </m:r>
          </m:e>
          <m:sub>
            <m:r>
              <w:rPr>
                <w:rFonts w:ascii="Cambria Math" w:eastAsiaTheme="minorEastAsia" w:hAnsi="Cambria Math" w:cstheme="minorBidi"/>
                <w:kern w:val="2"/>
                <w:sz w:val="20"/>
                <w:szCs w:val="20"/>
                <w:lang w:val="en-US" w:eastAsia="en-US"/>
                <w14:ligatures w14:val="standardContextual"/>
              </w:rPr>
              <m:t>i</m:t>
            </m:r>
          </m:sub>
        </m:sSub>
      </m:oMath>
      <w:r w:rsidRPr="00BD516C">
        <w:rPr>
          <w:rFonts w:ascii="Helvetica" w:eastAsiaTheme="minorEastAsia" w:hAnsi="Helvetica" w:cstheme="minorBidi"/>
          <w:kern w:val="2"/>
          <w:sz w:val="20"/>
          <w:szCs w:val="20"/>
          <w:lang w:val="en-US" w:eastAsia="en-US"/>
          <w14:ligatures w14:val="standardContextual"/>
        </w:rPr>
        <w:t> measures systematic risk, indicating how strongly the security’s return co-moves with the market. A beta greater than one implies higher volatility than the market, while a beta below one indicates lower relative volatility.</w:t>
      </w:r>
    </w:p>
    <w:p w14:paraId="2C71E46C" w14:textId="77777777" w:rsidR="00DA37A4" w:rsidRDefault="00BD516C" w:rsidP="00D30D34">
      <w:pPr>
        <w:pStyle w:val="NormalWeb"/>
        <w:jc w:val="both"/>
        <w:rPr>
          <w:rFonts w:ascii="Helvetica" w:eastAsiaTheme="minorEastAsia" w:hAnsi="Helvetica" w:cstheme="minorBidi"/>
          <w:kern w:val="2"/>
          <w:sz w:val="20"/>
          <w:szCs w:val="20"/>
          <w:lang w:val="en-US" w:eastAsia="en-US"/>
          <w14:ligatures w14:val="standardContextual"/>
        </w:rPr>
      </w:pPr>
      <w:r w:rsidRPr="00BD516C">
        <w:rPr>
          <w:rFonts w:ascii="Helvetica" w:eastAsiaTheme="minorEastAsia" w:hAnsi="Helvetica" w:cstheme="minorBidi"/>
          <w:kern w:val="2"/>
          <w:sz w:val="20"/>
          <w:szCs w:val="20"/>
          <w:lang w:val="en-US" w:eastAsia="en-US"/>
          <w14:ligatures w14:val="standardContextual"/>
        </w:rPr>
        <w:t>The error term </w:t>
      </w:r>
      <m:oMath>
        <m:sSub>
          <m:sSubPr>
            <m:ctrlPr>
              <w:rPr>
                <w:rFonts w:ascii="Cambria Math" w:eastAsiaTheme="minorEastAsia" w:hAnsi="Cambria Math" w:cstheme="minorBidi"/>
                <w:kern w:val="2"/>
                <w:sz w:val="20"/>
                <w:szCs w:val="20"/>
                <w:lang w:val="en-US" w:eastAsia="en-US"/>
                <w14:ligatures w14:val="standardContextual"/>
              </w:rPr>
            </m:ctrlPr>
          </m:sSubPr>
          <m:e>
            <m:r>
              <w:rPr>
                <w:rFonts w:ascii="Cambria Math" w:eastAsiaTheme="minorEastAsia" w:hAnsi="Cambria Math" w:cstheme="minorBidi"/>
                <w:kern w:val="2"/>
                <w:sz w:val="20"/>
                <w:szCs w:val="20"/>
                <w:lang w:val="en-US" w:eastAsia="en-US"/>
                <w14:ligatures w14:val="standardContextual"/>
              </w:rPr>
              <m:t>ε</m:t>
            </m:r>
          </m:e>
          <m:sub>
            <m:r>
              <w:rPr>
                <w:rFonts w:ascii="Cambria Math" w:eastAsiaTheme="minorEastAsia" w:hAnsi="Cambria Math" w:cstheme="minorBidi"/>
                <w:kern w:val="2"/>
                <w:sz w:val="20"/>
                <w:szCs w:val="20"/>
                <w:lang w:val="en-US" w:eastAsia="en-US"/>
                <w14:ligatures w14:val="standardContextual"/>
              </w:rPr>
              <m:t>i</m:t>
            </m:r>
            <m:r>
              <m:rPr>
                <m:sty m:val="p"/>
              </m:rPr>
              <w:rPr>
                <w:rFonts w:ascii="Cambria Math" w:eastAsiaTheme="minorEastAsia" w:hAnsi="Cambria Math" w:cstheme="minorBidi"/>
                <w:kern w:val="2"/>
                <w:sz w:val="20"/>
                <w:szCs w:val="20"/>
                <w:lang w:val="en-US" w:eastAsia="en-US"/>
                <w14:ligatures w14:val="standardContextual"/>
              </w:rPr>
              <m:t>,</m:t>
            </m:r>
            <m:r>
              <w:rPr>
                <w:rFonts w:ascii="Cambria Math" w:eastAsiaTheme="minorEastAsia" w:hAnsi="Cambria Math" w:cstheme="minorBidi"/>
                <w:kern w:val="2"/>
                <w:sz w:val="20"/>
                <w:szCs w:val="20"/>
                <w:lang w:val="en-US" w:eastAsia="en-US"/>
                <w14:ligatures w14:val="standardContextual"/>
              </w:rPr>
              <m:t>t</m:t>
            </m:r>
          </m:sub>
        </m:sSub>
      </m:oMath>
      <w:r w:rsidRPr="00BD516C">
        <w:rPr>
          <w:rFonts w:ascii="Helvetica" w:eastAsiaTheme="minorEastAsia" w:hAnsi="Helvetica" w:cstheme="minorBidi"/>
          <w:kern w:val="2"/>
          <w:sz w:val="20"/>
          <w:szCs w:val="20"/>
          <w:lang w:val="en-US" w:eastAsia="en-US"/>
          <w14:ligatures w14:val="standardContextual"/>
        </w:rPr>
        <w:t> represents the portion of the security’s return that cannot be explained by market movements. It captures firm-specific or idiosyncratic risk arising from factors such as management decisions, industry dynamics, or unexpected firm-level news. By construction, this component is assumed to have zero mean and to be uncorrelated with the market return, and it can be diversified away in a well-constructed portfolio. Persistently large residuals may indicate model misspecification or the need for additional explanatory factors.</w:t>
      </w:r>
    </w:p>
    <w:p w14:paraId="6CFF3AF7" w14:textId="2854C925" w:rsidR="00DA37A4" w:rsidRPr="00DA37A4" w:rsidRDefault="00DA37A4" w:rsidP="00D30D34">
      <w:pPr>
        <w:pStyle w:val="NormalWeb"/>
        <w:spacing w:before="0" w:beforeAutospacing="0" w:after="0" w:afterAutospacing="0"/>
        <w:jc w:val="both"/>
        <w:rPr>
          <w:rFonts w:ascii="Helvetica" w:eastAsiaTheme="minorEastAsia" w:hAnsi="Helvetica" w:cstheme="minorBidi"/>
          <w:kern w:val="2"/>
          <w:sz w:val="20"/>
          <w:szCs w:val="20"/>
          <w:lang w:val="en-US" w:eastAsia="en-US"/>
          <w14:ligatures w14:val="standardContextual"/>
        </w:rPr>
      </w:pPr>
      <w:r w:rsidRPr="00DA37A4">
        <w:rPr>
          <w:rFonts w:ascii="Helvetica" w:eastAsiaTheme="minorEastAsia" w:hAnsi="Helvetica" w:cstheme="minorBidi"/>
          <w:b/>
          <w:bCs/>
          <w:kern w:val="2"/>
          <w:sz w:val="20"/>
          <w:szCs w:val="20"/>
          <w:lang w:val="en-US" w:eastAsia="en-US"/>
          <w14:ligatures w14:val="standardContextual"/>
        </w:rPr>
        <w:t>Abnormal returns</w:t>
      </w:r>
      <w:r w:rsidRPr="00DA37A4">
        <w:rPr>
          <w:rFonts w:ascii="Helvetica" w:eastAsiaTheme="minorEastAsia" w:hAnsi="Helvetica" w:cstheme="minorBidi"/>
          <w:kern w:val="2"/>
          <w:sz w:val="20"/>
          <w:szCs w:val="20"/>
          <w:lang w:val="en-US" w:eastAsia="en-US"/>
          <w14:ligatures w14:val="standardContextual"/>
        </w:rPr>
        <w:t xml:space="preserve"> are defined as the difference between the actual return and the return predicted by the Market Model:</w:t>
      </w:r>
    </w:p>
    <w:p w14:paraId="168613B0" w14:textId="77777777" w:rsidR="00DA37A4" w:rsidRPr="00DA37A4" w:rsidRDefault="00DA37A4" w:rsidP="00D30D34">
      <w:pPr>
        <w:jc w:val="both"/>
        <w:rPr>
          <w:rFonts w:ascii="Helvetica" w:eastAsiaTheme="minorEastAsia" w:hAnsi="Helvetica"/>
          <w:sz w:val="20"/>
          <w:szCs w:val="20"/>
          <w:lang w:val="en-US"/>
        </w:rPr>
      </w:pPr>
      <m:oMathPara>
        <m:oMath>
          <m:r>
            <w:rPr>
              <w:rFonts w:ascii="Cambria Math" w:eastAsiaTheme="minorEastAsia" w:hAnsi="Cambria Math"/>
              <w:sz w:val="20"/>
              <w:szCs w:val="20"/>
              <w:lang w:val="en-US"/>
            </w:rPr>
            <m:t>A</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sub>
          </m:sSub>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r>
            <w:rPr>
              <w:rFonts w:ascii="Helvetica" w:eastAsiaTheme="minorEastAsia" w:hAnsi="Helvetica"/>
              <w:sz w:val="20"/>
              <w:szCs w:val="20"/>
              <w:lang w:val="en-US"/>
            </w:rPr>
            <w:br/>
          </m:r>
        </m:oMath>
      </m:oMathPara>
    </w:p>
    <w:p w14:paraId="30AE0774" w14:textId="77777777" w:rsidR="00DA37A4" w:rsidRPr="00DA37A4" w:rsidRDefault="00DA37A4" w:rsidP="00D30D34">
      <w:pPr>
        <w:jc w:val="both"/>
        <w:rPr>
          <w:rFonts w:ascii="Helvetica" w:eastAsiaTheme="minorEastAsia" w:hAnsi="Helvetica"/>
          <w:sz w:val="20"/>
          <w:szCs w:val="20"/>
          <w:lang w:val="en-US"/>
        </w:rPr>
      </w:pPr>
      <w:r w:rsidRPr="00DA37A4">
        <w:rPr>
          <w:rFonts w:ascii="Helvetica" w:eastAsiaTheme="minorEastAsia" w:hAnsi="Helvetica"/>
          <w:sz w:val="20"/>
          <w:szCs w:val="20"/>
          <w:lang w:val="en-US"/>
        </w:rPr>
        <w:t>These abnormal returns represent the impact of the event after controlling for general market movements. In empirical event studies, abnormal returns are typically aggregated across time and/or securities to compute cumulative abnormal returns (CAR) or average abnormal returns (AAR), allowing researchers to assess the statistical and economic significance of the event’s effect.</w:t>
      </w:r>
    </w:p>
    <w:p w14:paraId="3B39DCD0" w14:textId="77777777" w:rsidR="00500DE5" w:rsidRDefault="00500DE5" w:rsidP="009D3961">
      <w:pPr>
        <w:jc w:val="both"/>
        <w:rPr>
          <w:rFonts w:ascii="Helvetica" w:eastAsiaTheme="minorEastAsia" w:hAnsi="Helvetica"/>
          <w:sz w:val="20"/>
          <w:szCs w:val="20"/>
          <w:lang w:val="en-US"/>
        </w:rPr>
      </w:pPr>
    </w:p>
    <w:p w14:paraId="5E0B11C2" w14:textId="77777777" w:rsidR="002D4C78" w:rsidRDefault="002D4C78" w:rsidP="009D3961">
      <w:pPr>
        <w:jc w:val="both"/>
        <w:rPr>
          <w:rFonts w:ascii="Helvetica" w:eastAsiaTheme="minorEastAsia" w:hAnsi="Helvetica"/>
          <w:sz w:val="20"/>
          <w:szCs w:val="20"/>
          <w:lang w:val="en-US"/>
        </w:rPr>
      </w:pPr>
    </w:p>
    <w:p w14:paraId="5E0555D9" w14:textId="236B14D6" w:rsidR="00500DE5" w:rsidRPr="002D4C78" w:rsidRDefault="002D4C78" w:rsidP="009D3961">
      <w:pPr>
        <w:jc w:val="both"/>
        <w:rPr>
          <w:rFonts w:ascii="Helvetica" w:eastAsiaTheme="minorEastAsia" w:hAnsi="Helvetica"/>
          <w:sz w:val="20"/>
          <w:szCs w:val="20"/>
          <w:u w:val="single"/>
          <w:lang w:val="en-US"/>
        </w:rPr>
      </w:pPr>
      <w:r w:rsidRPr="002D4C78">
        <w:rPr>
          <w:rFonts w:ascii="Helvetica" w:eastAsiaTheme="minorEastAsia" w:hAnsi="Helvetica"/>
          <w:sz w:val="20"/>
          <w:szCs w:val="20"/>
          <w:u w:val="single"/>
          <w:lang w:val="en-US"/>
        </w:rPr>
        <w:t>2. Market Adjusted Model</w:t>
      </w:r>
    </w:p>
    <w:p w14:paraId="7C93FA64" w14:textId="77777777" w:rsidR="002D4C78" w:rsidRDefault="002D4C78" w:rsidP="00152747">
      <w:pPr>
        <w:jc w:val="both"/>
        <w:rPr>
          <w:rFonts w:ascii="Helvetica" w:eastAsiaTheme="minorEastAsia" w:hAnsi="Helvetica"/>
          <w:sz w:val="20"/>
          <w:szCs w:val="20"/>
          <w:lang w:val="en-US"/>
        </w:rPr>
      </w:pPr>
    </w:p>
    <w:p w14:paraId="3EE4F83D" w14:textId="30191739" w:rsidR="00467847" w:rsidRDefault="00467847" w:rsidP="00152747">
      <w:pPr>
        <w:jc w:val="both"/>
        <w:rPr>
          <w:rFonts w:ascii="Helvetica" w:eastAsiaTheme="minorEastAsia" w:hAnsi="Helvetica"/>
          <w:sz w:val="20"/>
          <w:szCs w:val="20"/>
          <w:lang w:val="en-US"/>
        </w:rPr>
      </w:pPr>
      <w:r w:rsidRPr="00467847">
        <w:rPr>
          <w:rFonts w:ascii="Helvetica" w:eastAsiaTheme="minorEastAsia" w:hAnsi="Helvetica"/>
          <w:sz w:val="20"/>
          <w:szCs w:val="20"/>
          <w:lang w:val="en-US"/>
        </w:rPr>
        <w:t>The Market Adjusted Model is a simplified benchmark model commonly used in event studies to estimate expected returns and compute abnormal returns around an event. Unlike the Market Model, it does not require the estimation of stock-specific parameters such as alpha or beta. Instead, it assumes that the expected return of a security is equal to the contemporaneous market return. This simplicity makes the model particularly useful when data availability is limited, when parameter estimation is unreliable, or when a quick and transparent benchmark is preferred.</w:t>
      </w:r>
      <w:r w:rsidR="002C6BBF">
        <w:rPr>
          <w:rFonts w:ascii="Helvetica" w:eastAsiaTheme="minorEastAsia" w:hAnsi="Helvetica"/>
          <w:sz w:val="20"/>
          <w:szCs w:val="20"/>
          <w:lang w:val="en-US"/>
        </w:rPr>
        <w:t xml:space="preserve"> </w:t>
      </w:r>
      <w:r w:rsidRPr="00467847">
        <w:rPr>
          <w:rFonts w:ascii="Helvetica" w:eastAsiaTheme="minorEastAsia" w:hAnsi="Helvetica"/>
          <w:sz w:val="20"/>
          <w:szCs w:val="20"/>
          <w:lang w:val="en-US"/>
        </w:rPr>
        <w:t>The model is specified as:</w:t>
      </w:r>
    </w:p>
    <w:p w14:paraId="6CC1F90B" w14:textId="77777777" w:rsidR="0006413D" w:rsidRPr="00467847" w:rsidRDefault="0006413D" w:rsidP="00152747">
      <w:pPr>
        <w:jc w:val="both"/>
        <w:rPr>
          <w:rFonts w:ascii="Helvetica" w:eastAsiaTheme="minorEastAsia" w:hAnsi="Helvetica"/>
          <w:sz w:val="20"/>
          <w:szCs w:val="20"/>
          <w:lang w:val="en-US"/>
        </w:rPr>
      </w:pPr>
    </w:p>
    <w:p w14:paraId="711418FE" w14:textId="77777777" w:rsidR="00467847" w:rsidRPr="00467847" w:rsidRDefault="00467847" w:rsidP="00152747">
      <w:pPr>
        <w:jc w:val="both"/>
        <w:rPr>
          <w:rFonts w:ascii="Helvetica" w:eastAsiaTheme="minorEastAsia" w:hAnsi="Helvetica"/>
          <w:sz w:val="20"/>
          <w:szCs w:val="20"/>
          <w:lang w:val="en-US"/>
        </w:rPr>
      </w:pPr>
      <m:oMathPara>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17D85E81" w14:textId="4993F645" w:rsidR="00467847" w:rsidRDefault="00467847" w:rsidP="00152747">
      <w:pPr>
        <w:jc w:val="both"/>
        <w:rPr>
          <w:rFonts w:ascii="Helvetica" w:eastAsiaTheme="minorEastAsia" w:hAnsi="Helvetica"/>
          <w:sz w:val="20"/>
          <w:szCs w:val="20"/>
          <w:lang w:val="en-US"/>
        </w:rPr>
      </w:pPr>
      <w:r w:rsidRPr="00467847">
        <w:rPr>
          <w:rFonts w:ascii="Helvetica" w:eastAsiaTheme="minorEastAsia" w:hAnsi="Helvetica"/>
          <w:sz w:val="20"/>
          <w:szCs w:val="20"/>
          <w:lang w:val="en-US"/>
        </w:rPr>
        <w:t>where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467847">
        <w:rPr>
          <w:rFonts w:ascii="Helvetica" w:eastAsiaTheme="minorEastAsia" w:hAnsi="Helvetica"/>
          <w:sz w:val="20"/>
          <w:szCs w:val="20"/>
          <w:lang w:val="en-US"/>
        </w:rPr>
        <w:t> denotes the return of security </w:t>
      </w:r>
      <m:oMath>
        <m:r>
          <w:rPr>
            <w:rFonts w:ascii="Cambria Math" w:eastAsiaTheme="minorEastAsia" w:hAnsi="Cambria Math"/>
            <w:sz w:val="20"/>
            <w:szCs w:val="20"/>
            <w:lang w:val="en-US"/>
          </w:rPr>
          <m:t>i</m:t>
        </m:r>
      </m:oMath>
      <w:r w:rsidRPr="00467847">
        <w:rPr>
          <w:rFonts w:ascii="Helvetica" w:eastAsiaTheme="minorEastAsia" w:hAnsi="Helvetica"/>
          <w:sz w:val="20"/>
          <w:szCs w:val="20"/>
          <w:lang w:val="en-US"/>
        </w:rPr>
        <w:t> at time </w:t>
      </w:r>
      <m:oMath>
        <m:r>
          <w:rPr>
            <w:rFonts w:ascii="Cambria Math" w:eastAsiaTheme="minorEastAsia" w:hAnsi="Cambria Math"/>
            <w:sz w:val="20"/>
            <w:szCs w:val="20"/>
            <w:lang w:val="en-US"/>
          </w:rPr>
          <m:t>t</m:t>
        </m:r>
      </m:oMath>
      <w:r w:rsidRPr="00467847">
        <w:rPr>
          <w:rFonts w:ascii="Helvetica" w:eastAsiaTheme="minorEastAsia" w:hAnsi="Helvetica"/>
          <w:sz w:val="20"/>
          <w:szCs w:val="20"/>
          <w:lang w:val="en-US"/>
        </w:rPr>
        <w:t>,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467847">
        <w:rPr>
          <w:rFonts w:ascii="Helvetica" w:eastAsiaTheme="minorEastAsia" w:hAnsi="Helvetica"/>
          <w:sz w:val="20"/>
          <w:szCs w:val="20"/>
          <w:lang w:val="en-US"/>
        </w:rPr>
        <w:t> is the market return, and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467847">
        <w:rPr>
          <w:rFonts w:ascii="Helvetica" w:eastAsiaTheme="minorEastAsia" w:hAnsi="Helvetica"/>
          <w:sz w:val="20"/>
          <w:szCs w:val="20"/>
          <w:lang w:val="en-US"/>
        </w:rPr>
        <w:t> represents the idiosyncratic component of the security’s return that is not explained by market movements.</w:t>
      </w:r>
      <w:r w:rsidR="00C02BE3">
        <w:rPr>
          <w:rFonts w:ascii="Helvetica" w:eastAsiaTheme="minorEastAsia" w:hAnsi="Helvetica"/>
          <w:sz w:val="20"/>
          <w:szCs w:val="20"/>
          <w:lang w:val="en-US"/>
        </w:rPr>
        <w:t xml:space="preserve"> </w:t>
      </w:r>
      <w:r w:rsidRPr="00467847">
        <w:rPr>
          <w:rFonts w:ascii="Helvetica" w:eastAsiaTheme="minorEastAsia" w:hAnsi="Helvetica"/>
          <w:sz w:val="20"/>
          <w:szCs w:val="20"/>
          <w:lang w:val="en-US"/>
        </w:rPr>
        <w:t>Under this framework, the expected return of security </w:t>
      </w:r>
      <m:oMath>
        <m:r>
          <w:rPr>
            <w:rFonts w:ascii="Cambria Math" w:eastAsiaTheme="minorEastAsia" w:hAnsi="Cambria Math"/>
            <w:sz w:val="20"/>
            <w:szCs w:val="20"/>
            <w:lang w:val="en-US"/>
          </w:rPr>
          <m:t>i</m:t>
        </m:r>
      </m:oMath>
      <w:r w:rsidRPr="00467847">
        <w:rPr>
          <w:rFonts w:ascii="Helvetica" w:eastAsiaTheme="minorEastAsia" w:hAnsi="Helvetica"/>
          <w:sz w:val="20"/>
          <w:szCs w:val="20"/>
          <w:lang w:val="en-US"/>
        </w:rPr>
        <w:t> during the event window is given by:</w:t>
      </w:r>
    </w:p>
    <w:p w14:paraId="7A6B4E88" w14:textId="77777777" w:rsidR="00B01345" w:rsidRPr="00467847" w:rsidRDefault="00B01345" w:rsidP="00152747">
      <w:pPr>
        <w:jc w:val="both"/>
        <w:rPr>
          <w:rFonts w:ascii="Helvetica" w:eastAsiaTheme="minorEastAsia" w:hAnsi="Helvetica"/>
          <w:sz w:val="20"/>
          <w:szCs w:val="20"/>
          <w:lang w:val="en-US"/>
        </w:rPr>
      </w:pPr>
    </w:p>
    <w:p w14:paraId="62AE31B6" w14:textId="77777777" w:rsidR="00467847" w:rsidRPr="00467847" w:rsidRDefault="00467847" w:rsidP="00152747">
      <w:pPr>
        <w:jc w:val="both"/>
        <w:rPr>
          <w:rFonts w:ascii="Helvetica" w:eastAsiaTheme="minorEastAsia" w:hAnsi="Helvetica"/>
          <w:sz w:val="20"/>
          <w:szCs w:val="20"/>
          <w:lang w:val="en-US"/>
        </w:rPr>
      </w:pPr>
      <m:oMathPara>
        <m:oMath>
          <m:r>
            <m:rPr>
              <m:scr m:val="double-struck"/>
              <m:sty m:val="p"/>
            </m:rPr>
            <w:rPr>
              <w:rFonts w:ascii="Cambria Math" w:eastAsiaTheme="minorEastAsia" w:hAnsi="Cambria Math"/>
              <w:sz w:val="20"/>
              <w:szCs w:val="20"/>
              <w:lang w:val="en-US"/>
            </w:rPr>
            <w:lastRenderedPageBreak/>
            <m:t>E[</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4FB5EB75" w14:textId="77777777" w:rsidR="00467847" w:rsidRDefault="00467847" w:rsidP="00152747">
      <w:pPr>
        <w:jc w:val="both"/>
        <w:rPr>
          <w:rFonts w:ascii="Helvetica" w:eastAsiaTheme="minorEastAsia" w:hAnsi="Helvetica"/>
          <w:sz w:val="20"/>
          <w:szCs w:val="20"/>
          <w:lang w:val="en-US"/>
        </w:rPr>
      </w:pPr>
      <w:r w:rsidRPr="00467847">
        <w:rPr>
          <w:rFonts w:ascii="Helvetica" w:eastAsiaTheme="minorEastAsia" w:hAnsi="Helvetica"/>
          <w:sz w:val="20"/>
          <w:szCs w:val="20"/>
          <w:lang w:val="en-US"/>
        </w:rPr>
        <w:t>The abnormal return, which captures the effect of the event after controlling for general market movements, is computed as:</w:t>
      </w:r>
    </w:p>
    <w:p w14:paraId="62228E84" w14:textId="77777777" w:rsidR="00477932" w:rsidRPr="00467847" w:rsidRDefault="00477932" w:rsidP="00152747">
      <w:pPr>
        <w:jc w:val="both"/>
        <w:rPr>
          <w:rFonts w:ascii="Helvetica" w:eastAsiaTheme="minorEastAsia" w:hAnsi="Helvetica"/>
          <w:sz w:val="20"/>
          <w:szCs w:val="20"/>
          <w:lang w:val="en-US"/>
        </w:rPr>
      </w:pPr>
    </w:p>
    <w:p w14:paraId="1116C744" w14:textId="77777777" w:rsidR="00467847" w:rsidRPr="00467847" w:rsidRDefault="00467847" w:rsidP="00152747">
      <w:pPr>
        <w:jc w:val="both"/>
        <w:rPr>
          <w:rFonts w:ascii="Helvetica" w:eastAsiaTheme="minorEastAsia" w:hAnsi="Helvetica"/>
          <w:sz w:val="20"/>
          <w:szCs w:val="20"/>
          <w:lang w:val="en-US"/>
        </w:rPr>
      </w:pPr>
      <m:oMathPara>
        <m:oMath>
          <m:r>
            <w:rPr>
              <w:rFonts w:ascii="Cambria Math" w:eastAsiaTheme="minorEastAsia" w:hAnsi="Cambria Math"/>
              <w:sz w:val="20"/>
              <w:szCs w:val="20"/>
              <w:lang w:val="en-US"/>
            </w:rPr>
            <m:t>A</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31E7346D" w14:textId="77777777" w:rsidR="00467847" w:rsidRPr="00467847" w:rsidRDefault="00467847" w:rsidP="00152747">
      <w:pPr>
        <w:jc w:val="both"/>
        <w:rPr>
          <w:rFonts w:ascii="Helvetica" w:eastAsiaTheme="minorEastAsia" w:hAnsi="Helvetica"/>
          <w:sz w:val="20"/>
          <w:szCs w:val="20"/>
          <w:lang w:val="en-US"/>
        </w:rPr>
      </w:pPr>
      <w:r w:rsidRPr="00467847">
        <w:rPr>
          <w:rFonts w:ascii="Helvetica" w:eastAsiaTheme="minorEastAsia" w:hAnsi="Helvetica"/>
          <w:sz w:val="20"/>
          <w:szCs w:val="20"/>
          <w:lang w:val="en-US"/>
        </w:rPr>
        <w:t>As in standard event study methodology, abnormal returns can be aggregated across securities and over time to compute average abnormal returns (AAR) and cumulative abnormal returns (CAR). While the Market Adjusted Model is easy to implement and avoids estimation error associated with parameter estimation, it implicitly assumes unit market exposure and zero abnormal performance outside the event, which may limit its accuracy for securities with market sensitivities that differ substantially from one.</w:t>
      </w:r>
    </w:p>
    <w:p w14:paraId="24EEC77A" w14:textId="77777777" w:rsidR="00467847" w:rsidRDefault="00467847" w:rsidP="00152747">
      <w:pPr>
        <w:jc w:val="both"/>
        <w:rPr>
          <w:rFonts w:ascii="Helvetica" w:eastAsiaTheme="minorEastAsia" w:hAnsi="Helvetica"/>
          <w:sz w:val="20"/>
          <w:szCs w:val="20"/>
          <w:lang w:val="en-US"/>
        </w:rPr>
      </w:pPr>
    </w:p>
    <w:p w14:paraId="2FE29B43" w14:textId="77777777" w:rsidR="002D4C78" w:rsidRDefault="002D4C78" w:rsidP="009D3961">
      <w:pPr>
        <w:jc w:val="both"/>
        <w:rPr>
          <w:rFonts w:ascii="Helvetica" w:eastAsiaTheme="minorEastAsia" w:hAnsi="Helvetica"/>
          <w:sz w:val="20"/>
          <w:szCs w:val="20"/>
          <w:lang w:val="en-US"/>
        </w:rPr>
      </w:pPr>
    </w:p>
    <w:p w14:paraId="6C6AE887" w14:textId="65D7F6D6" w:rsidR="00020ACB" w:rsidRPr="00020ACB" w:rsidRDefault="00020ACB" w:rsidP="009D3961">
      <w:pPr>
        <w:jc w:val="both"/>
        <w:rPr>
          <w:rFonts w:ascii="Helvetica" w:eastAsiaTheme="minorEastAsia" w:hAnsi="Helvetica"/>
          <w:b/>
          <w:bCs/>
          <w:sz w:val="20"/>
          <w:szCs w:val="20"/>
          <w:lang w:val="en-US"/>
        </w:rPr>
      </w:pPr>
      <w:r w:rsidRPr="00020ACB">
        <w:rPr>
          <w:rFonts w:ascii="Helvetica" w:eastAsiaTheme="minorEastAsia" w:hAnsi="Helvetica"/>
          <w:b/>
          <w:bCs/>
          <w:sz w:val="20"/>
          <w:szCs w:val="20"/>
          <w:lang w:val="en-US"/>
        </w:rPr>
        <w:t>3. Comparison</w:t>
      </w:r>
      <w:r w:rsidR="00F81786">
        <w:rPr>
          <w:rFonts w:ascii="Helvetica" w:eastAsiaTheme="minorEastAsia" w:hAnsi="Helvetica"/>
          <w:b/>
          <w:bCs/>
          <w:sz w:val="20"/>
          <w:szCs w:val="20"/>
          <w:lang w:val="en-US"/>
        </w:rPr>
        <w:t xml:space="preserve"> Period</w:t>
      </w:r>
      <w:r w:rsidRPr="00020ACB">
        <w:rPr>
          <w:rFonts w:ascii="Helvetica" w:eastAsiaTheme="minorEastAsia" w:hAnsi="Helvetica"/>
          <w:b/>
          <w:bCs/>
          <w:sz w:val="20"/>
          <w:szCs w:val="20"/>
          <w:lang w:val="en-US"/>
        </w:rPr>
        <w:t xml:space="preserve"> Mean Adjusted Model</w:t>
      </w:r>
    </w:p>
    <w:p w14:paraId="398FF5F1" w14:textId="77777777" w:rsidR="00020ACB" w:rsidRDefault="00020ACB" w:rsidP="009D3961">
      <w:pPr>
        <w:jc w:val="both"/>
        <w:rPr>
          <w:rFonts w:ascii="Helvetica" w:eastAsiaTheme="minorEastAsia" w:hAnsi="Helvetica"/>
          <w:sz w:val="20"/>
          <w:szCs w:val="20"/>
          <w:lang w:val="en-US"/>
        </w:rPr>
      </w:pPr>
    </w:p>
    <w:p w14:paraId="4F8624C1" w14:textId="5A6552E3" w:rsidR="00CB5412" w:rsidRDefault="00CB5412" w:rsidP="00CB5412">
      <w:pPr>
        <w:jc w:val="both"/>
        <w:rPr>
          <w:rFonts w:ascii="Helvetica" w:eastAsiaTheme="minorEastAsia" w:hAnsi="Helvetica"/>
          <w:sz w:val="20"/>
          <w:szCs w:val="20"/>
          <w:lang w:val="en-US"/>
        </w:rPr>
      </w:pPr>
      <w:r w:rsidRPr="00CB5412">
        <w:rPr>
          <w:rFonts w:ascii="Helvetica" w:eastAsiaTheme="minorEastAsia" w:hAnsi="Helvetica"/>
          <w:sz w:val="20"/>
          <w:szCs w:val="20"/>
          <w:lang w:val="en-US"/>
        </w:rPr>
        <w:t xml:space="preserve">The Comparison Period Mean Adjusted Model is a simple event study approach that estimates a security’s expected return using its own historical average return over a designated comparison period, typically prior to the event. Unlike market-based models, this framework does not rely on market index data and instead assumes that the security’s expected performance during the event window is best represented by its past average </w:t>
      </w:r>
      <w:proofErr w:type="spellStart"/>
      <w:r w:rsidRPr="00CB5412">
        <w:rPr>
          <w:rFonts w:ascii="Helvetica" w:eastAsiaTheme="minorEastAsia" w:hAnsi="Helvetica"/>
          <w:sz w:val="20"/>
          <w:szCs w:val="20"/>
          <w:lang w:val="en-US"/>
        </w:rPr>
        <w:t>behavior</w:t>
      </w:r>
      <w:proofErr w:type="spellEnd"/>
      <w:r w:rsidRPr="00CB5412">
        <w:rPr>
          <w:rFonts w:ascii="Helvetica" w:eastAsiaTheme="minorEastAsia" w:hAnsi="Helvetica"/>
          <w:sz w:val="20"/>
          <w:szCs w:val="20"/>
          <w:lang w:val="en-US"/>
        </w:rPr>
        <w:t>. This model is useful when market return data are unavailable or when researchers wish to abstract from market-wide influences.</w:t>
      </w:r>
      <w:r w:rsidR="001139DD">
        <w:rPr>
          <w:rFonts w:ascii="Helvetica" w:eastAsiaTheme="minorEastAsia" w:hAnsi="Helvetica"/>
          <w:sz w:val="20"/>
          <w:szCs w:val="20"/>
          <w:lang w:val="en-US"/>
        </w:rPr>
        <w:t xml:space="preserve"> </w:t>
      </w:r>
      <w:r w:rsidRPr="00CB5412">
        <w:rPr>
          <w:rFonts w:ascii="Helvetica" w:eastAsiaTheme="minorEastAsia" w:hAnsi="Helvetica"/>
          <w:sz w:val="20"/>
          <w:szCs w:val="20"/>
          <w:lang w:val="en-US"/>
        </w:rPr>
        <w:t>The model is specified as:</w:t>
      </w:r>
    </w:p>
    <w:p w14:paraId="29F071A1" w14:textId="77777777" w:rsidR="009C02D6" w:rsidRPr="00CB5412" w:rsidRDefault="009C02D6" w:rsidP="00CB5412">
      <w:pPr>
        <w:jc w:val="both"/>
        <w:rPr>
          <w:rFonts w:ascii="Helvetica" w:eastAsiaTheme="minorEastAsia" w:hAnsi="Helvetica"/>
          <w:sz w:val="20"/>
          <w:szCs w:val="20"/>
          <w:lang w:val="en-US"/>
        </w:rPr>
      </w:pPr>
    </w:p>
    <w:p w14:paraId="683CCD5D" w14:textId="77777777" w:rsidR="00CB5412" w:rsidRPr="00CB5412" w:rsidRDefault="00CB5412" w:rsidP="00CB5412">
      <w:pPr>
        <w:jc w:val="both"/>
        <w:rPr>
          <w:rFonts w:ascii="Helvetica" w:eastAsiaTheme="minorEastAsia" w:hAnsi="Helvetica"/>
          <w:sz w:val="20"/>
          <w:szCs w:val="20"/>
          <w:lang w:val="en-US"/>
        </w:rPr>
      </w:pPr>
      <m:oMathPara>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μ</m:t>
              </m:r>
            </m:e>
            <m:sub>
              <m:r>
                <w:rPr>
                  <w:rFonts w:ascii="Cambria Math" w:eastAsiaTheme="minorEastAsia" w:hAnsi="Cambria Math"/>
                  <w:sz w:val="20"/>
                  <w:szCs w:val="20"/>
                  <w:lang w:val="en-US"/>
                </w:rPr>
                <m:t>i</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1D5B53D3" w14:textId="1C7309DC" w:rsidR="00CB5412" w:rsidRDefault="00CB5412" w:rsidP="00CB5412">
      <w:pPr>
        <w:jc w:val="both"/>
        <w:rPr>
          <w:rFonts w:ascii="Helvetica" w:eastAsiaTheme="minorEastAsia" w:hAnsi="Helvetica"/>
          <w:sz w:val="20"/>
          <w:szCs w:val="20"/>
          <w:lang w:val="en-US"/>
        </w:rPr>
      </w:pPr>
      <w:r w:rsidRPr="00CB5412">
        <w:rPr>
          <w:rFonts w:ascii="Helvetica" w:eastAsiaTheme="minorEastAsia" w:hAnsi="Helvetica"/>
          <w:sz w:val="20"/>
          <w:szCs w:val="20"/>
          <w:lang w:val="en-US"/>
        </w:rPr>
        <w:t>where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CB5412">
        <w:rPr>
          <w:rFonts w:ascii="Helvetica" w:eastAsiaTheme="minorEastAsia" w:hAnsi="Helvetica"/>
          <w:sz w:val="20"/>
          <w:szCs w:val="20"/>
          <w:lang w:val="en-US"/>
        </w:rPr>
        <w:t> denotes the return of security </w:t>
      </w:r>
      <m:oMath>
        <m:r>
          <w:rPr>
            <w:rFonts w:ascii="Cambria Math" w:eastAsiaTheme="minorEastAsia" w:hAnsi="Cambria Math"/>
            <w:sz w:val="20"/>
            <w:szCs w:val="20"/>
            <w:lang w:val="en-US"/>
          </w:rPr>
          <m:t>i</m:t>
        </m:r>
      </m:oMath>
      <w:r w:rsidRPr="00CB5412">
        <w:rPr>
          <w:rFonts w:ascii="Helvetica" w:eastAsiaTheme="minorEastAsia" w:hAnsi="Helvetica"/>
          <w:sz w:val="20"/>
          <w:szCs w:val="20"/>
          <w:lang w:val="en-US"/>
        </w:rPr>
        <w:t> at time </w:t>
      </w:r>
      <m:oMath>
        <m:r>
          <w:rPr>
            <w:rFonts w:ascii="Cambria Math" w:eastAsiaTheme="minorEastAsia" w:hAnsi="Cambria Math"/>
            <w:sz w:val="20"/>
            <w:szCs w:val="20"/>
            <w:lang w:val="en-US"/>
          </w:rPr>
          <m:t>t</m:t>
        </m:r>
      </m:oMath>
      <w:r w:rsidRPr="00CB5412">
        <w:rPr>
          <w:rFonts w:ascii="Helvetica" w:eastAsiaTheme="minorEastAsia" w:hAnsi="Helvetica"/>
          <w:sz w:val="20"/>
          <w:szCs w:val="20"/>
          <w:lang w:val="en-US"/>
        </w:rPr>
        <w:t>,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μ</m:t>
            </m:r>
          </m:e>
          <m:sub>
            <m:r>
              <w:rPr>
                <w:rFonts w:ascii="Cambria Math" w:eastAsiaTheme="minorEastAsia" w:hAnsi="Cambria Math"/>
                <w:sz w:val="20"/>
                <w:szCs w:val="20"/>
                <w:lang w:val="en-US"/>
              </w:rPr>
              <m:t>i</m:t>
            </m:r>
          </m:sub>
        </m:sSub>
      </m:oMath>
      <w:r w:rsidRPr="00CB5412">
        <w:rPr>
          <w:rFonts w:ascii="Helvetica" w:eastAsiaTheme="minorEastAsia" w:hAnsi="Helvetica"/>
          <w:sz w:val="20"/>
          <w:szCs w:val="20"/>
          <w:lang w:val="en-US"/>
        </w:rPr>
        <w:t> is the mean return of security </w:t>
      </w:r>
      <m:oMath>
        <m:r>
          <w:rPr>
            <w:rFonts w:ascii="Cambria Math" w:eastAsiaTheme="minorEastAsia" w:hAnsi="Cambria Math"/>
            <w:sz w:val="20"/>
            <w:szCs w:val="20"/>
            <w:lang w:val="en-US"/>
          </w:rPr>
          <m:t>i</m:t>
        </m:r>
      </m:oMath>
      <w:r w:rsidRPr="00CB5412">
        <w:rPr>
          <w:rFonts w:ascii="Helvetica" w:eastAsiaTheme="minorEastAsia" w:hAnsi="Helvetica"/>
          <w:sz w:val="20"/>
          <w:szCs w:val="20"/>
          <w:lang w:val="en-US"/>
        </w:rPr>
        <w:t> estimated over the comparison period, and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CB5412">
        <w:rPr>
          <w:rFonts w:ascii="Helvetica" w:eastAsiaTheme="minorEastAsia" w:hAnsi="Helvetica"/>
          <w:sz w:val="20"/>
          <w:szCs w:val="20"/>
          <w:lang w:val="en-US"/>
        </w:rPr>
        <w:t> represents the idiosyncratic component of the return.</w:t>
      </w:r>
      <w:r w:rsidR="00A6719C">
        <w:rPr>
          <w:rFonts w:ascii="Helvetica" w:eastAsiaTheme="minorEastAsia" w:hAnsi="Helvetica"/>
          <w:sz w:val="20"/>
          <w:szCs w:val="20"/>
          <w:lang w:val="en-US"/>
        </w:rPr>
        <w:t xml:space="preserve"> </w:t>
      </w:r>
      <w:r w:rsidRPr="00CB5412">
        <w:rPr>
          <w:rFonts w:ascii="Helvetica" w:eastAsiaTheme="minorEastAsia" w:hAnsi="Helvetica"/>
          <w:sz w:val="20"/>
          <w:szCs w:val="20"/>
          <w:lang w:val="en-US"/>
        </w:rPr>
        <w:t>Under this framework, the expected return of security </w:t>
      </w:r>
      <m:oMath>
        <m:r>
          <w:rPr>
            <w:rFonts w:ascii="Cambria Math" w:eastAsiaTheme="minorEastAsia" w:hAnsi="Cambria Math"/>
            <w:sz w:val="20"/>
            <w:szCs w:val="20"/>
            <w:lang w:val="en-US"/>
          </w:rPr>
          <m:t>i</m:t>
        </m:r>
      </m:oMath>
      <w:r w:rsidRPr="00CB5412">
        <w:rPr>
          <w:rFonts w:ascii="Helvetica" w:eastAsiaTheme="minorEastAsia" w:hAnsi="Helvetica"/>
          <w:sz w:val="20"/>
          <w:szCs w:val="20"/>
          <w:lang w:val="en-US"/>
        </w:rPr>
        <w:t> during the event window is given by:</w:t>
      </w:r>
    </w:p>
    <w:p w14:paraId="3EBE5733" w14:textId="77777777" w:rsidR="00A6719C" w:rsidRPr="00CB5412" w:rsidRDefault="00A6719C" w:rsidP="00CB5412">
      <w:pPr>
        <w:jc w:val="both"/>
        <w:rPr>
          <w:rFonts w:ascii="Helvetica" w:eastAsiaTheme="minorEastAsia" w:hAnsi="Helvetica"/>
          <w:sz w:val="20"/>
          <w:szCs w:val="20"/>
          <w:lang w:val="en-US"/>
        </w:rPr>
      </w:pPr>
    </w:p>
    <w:p w14:paraId="53AB7B60" w14:textId="77777777" w:rsidR="00CB5412" w:rsidRPr="00CB5412" w:rsidRDefault="00CB5412" w:rsidP="00CB5412">
      <w:pPr>
        <w:jc w:val="both"/>
        <w:rPr>
          <w:rFonts w:ascii="Helvetica" w:eastAsiaTheme="minorEastAsia" w:hAnsi="Helvetica"/>
          <w:sz w:val="20"/>
          <w:szCs w:val="20"/>
          <w:lang w:val="en-US"/>
        </w:rPr>
      </w:pPr>
      <m:oMathPara>
        <m:oMath>
          <m:r>
            <m:rPr>
              <m:scr m:val="double-struck"/>
              <m:sty m:val="p"/>
            </m:rPr>
            <w:rPr>
              <w:rFonts w:ascii="Cambria Math" w:eastAsiaTheme="minorEastAsia" w:hAnsi="Cambria Math"/>
              <w:sz w:val="20"/>
              <w:szCs w:val="20"/>
              <w:lang w:val="en-US"/>
            </w:rPr>
            <m:t>E[</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μ</m:t>
              </m:r>
            </m:e>
            <m:sub>
              <m:r>
                <w:rPr>
                  <w:rFonts w:ascii="Cambria Math" w:eastAsiaTheme="minorEastAsia" w:hAnsi="Cambria Math"/>
                  <w:sz w:val="20"/>
                  <w:szCs w:val="20"/>
                  <w:lang w:val="en-US"/>
                </w:rPr>
                <m:t>i</m:t>
              </m:r>
            </m:sub>
          </m:sSub>
          <m:r>
            <w:rPr>
              <w:rFonts w:ascii="Helvetica" w:eastAsiaTheme="minorEastAsia" w:hAnsi="Helvetica"/>
              <w:sz w:val="20"/>
              <w:szCs w:val="20"/>
              <w:lang w:val="en-US"/>
            </w:rPr>
            <w:br/>
          </m:r>
        </m:oMath>
      </m:oMathPara>
    </w:p>
    <w:p w14:paraId="74A8F4C7" w14:textId="77777777" w:rsidR="00CB5412" w:rsidRDefault="00CB5412" w:rsidP="00CB5412">
      <w:pPr>
        <w:jc w:val="both"/>
        <w:rPr>
          <w:rFonts w:ascii="Helvetica" w:eastAsiaTheme="minorEastAsia" w:hAnsi="Helvetica"/>
          <w:sz w:val="20"/>
          <w:szCs w:val="20"/>
          <w:lang w:val="en-US"/>
        </w:rPr>
      </w:pPr>
      <w:r w:rsidRPr="00CB5412">
        <w:rPr>
          <w:rFonts w:ascii="Helvetica" w:eastAsiaTheme="minorEastAsia" w:hAnsi="Helvetica"/>
          <w:sz w:val="20"/>
          <w:szCs w:val="20"/>
          <w:lang w:val="en-US"/>
        </w:rPr>
        <w:t>The abnormal return, which captures deviations from the security’s typical historical performance attributable to the event, is calculated as:</w:t>
      </w:r>
    </w:p>
    <w:p w14:paraId="4279E3BE" w14:textId="77777777" w:rsidR="008777F0" w:rsidRPr="00CB5412" w:rsidRDefault="008777F0" w:rsidP="00CB5412">
      <w:pPr>
        <w:jc w:val="both"/>
        <w:rPr>
          <w:rFonts w:ascii="Helvetica" w:eastAsiaTheme="minorEastAsia" w:hAnsi="Helvetica"/>
          <w:sz w:val="20"/>
          <w:szCs w:val="20"/>
          <w:lang w:val="en-US"/>
        </w:rPr>
      </w:pPr>
    </w:p>
    <w:p w14:paraId="10C36D82" w14:textId="77777777" w:rsidR="00CB5412" w:rsidRPr="00CB5412" w:rsidRDefault="00CB5412" w:rsidP="00CB5412">
      <w:pPr>
        <w:jc w:val="both"/>
        <w:rPr>
          <w:rFonts w:ascii="Helvetica" w:eastAsiaTheme="minorEastAsia" w:hAnsi="Helvetica"/>
          <w:sz w:val="20"/>
          <w:szCs w:val="20"/>
          <w:lang w:val="en-US"/>
        </w:rPr>
      </w:pPr>
      <m:oMathPara>
        <m:oMath>
          <m:r>
            <w:rPr>
              <w:rFonts w:ascii="Cambria Math" w:eastAsiaTheme="minorEastAsia" w:hAnsi="Cambria Math"/>
              <w:sz w:val="20"/>
              <w:szCs w:val="20"/>
              <w:lang w:val="en-US"/>
            </w:rPr>
            <m:t>A</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μ</m:t>
              </m:r>
            </m:e>
            <m:sub>
              <m:r>
                <w:rPr>
                  <w:rFonts w:ascii="Cambria Math" w:eastAsiaTheme="minorEastAsia" w:hAnsi="Cambria Math"/>
                  <w:sz w:val="20"/>
                  <w:szCs w:val="20"/>
                  <w:lang w:val="en-US"/>
                </w:rPr>
                <m:t>i</m:t>
              </m:r>
            </m:sub>
          </m:sSub>
          <m:r>
            <w:rPr>
              <w:rFonts w:ascii="Helvetica" w:eastAsiaTheme="minorEastAsia" w:hAnsi="Helvetica"/>
              <w:sz w:val="20"/>
              <w:szCs w:val="20"/>
              <w:lang w:val="en-US"/>
            </w:rPr>
            <w:br/>
          </m:r>
        </m:oMath>
      </m:oMathPara>
    </w:p>
    <w:p w14:paraId="4435EA91" w14:textId="553B43C8" w:rsidR="00717833" w:rsidRDefault="00CB5412" w:rsidP="009D3961">
      <w:pPr>
        <w:jc w:val="both"/>
        <w:rPr>
          <w:rFonts w:ascii="Helvetica" w:eastAsiaTheme="minorEastAsia" w:hAnsi="Helvetica"/>
          <w:sz w:val="20"/>
          <w:szCs w:val="20"/>
          <w:lang w:val="en-US"/>
        </w:rPr>
      </w:pPr>
      <w:r w:rsidRPr="00CB5412">
        <w:rPr>
          <w:rFonts w:ascii="Helvetica" w:eastAsiaTheme="minorEastAsia" w:hAnsi="Helvetica"/>
          <w:sz w:val="20"/>
          <w:szCs w:val="20"/>
          <w:lang w:val="en-US"/>
        </w:rPr>
        <w:t>As in standard event study analysis, abnormal returns may be aggregated across securities and across time to compute average abnormal returns (AAR) and cumulative abnormal returns (CAR). While the Comparison Period Mean Adjusted Model is straightforward and avoids reliance on market benchmarks, it implicitly assumes return stationarity and ignores time-varying risk and market conditions, which may limit its effectiveness in periods of heightened market volatility or structural change.</w:t>
      </w:r>
    </w:p>
    <w:p w14:paraId="069C423F" w14:textId="77777777" w:rsidR="00020ACB" w:rsidRPr="00685E21" w:rsidRDefault="00020ACB" w:rsidP="009D3961">
      <w:pPr>
        <w:jc w:val="both"/>
        <w:rPr>
          <w:rFonts w:ascii="Helvetica" w:eastAsiaTheme="minorEastAsia" w:hAnsi="Helvetica"/>
          <w:sz w:val="20"/>
          <w:szCs w:val="20"/>
          <w:lang w:val="en-US"/>
        </w:rPr>
      </w:pPr>
    </w:p>
    <w:p w14:paraId="126E6041" w14:textId="77777777" w:rsidR="00563780" w:rsidRDefault="00563780" w:rsidP="00FF23D1">
      <w:pPr>
        <w:jc w:val="both"/>
        <w:rPr>
          <w:rFonts w:ascii="Helvetica" w:eastAsiaTheme="minorEastAsia" w:hAnsi="Helvetica"/>
          <w:sz w:val="20"/>
          <w:szCs w:val="20"/>
          <w:lang w:val="en-US"/>
        </w:rPr>
      </w:pPr>
    </w:p>
    <w:p w14:paraId="51D22318" w14:textId="508CBE21" w:rsidR="0000745A" w:rsidRPr="00F02F8C" w:rsidRDefault="0000745A" w:rsidP="00FF23D1">
      <w:pPr>
        <w:jc w:val="both"/>
        <w:rPr>
          <w:rFonts w:ascii="Helvetica" w:eastAsiaTheme="minorEastAsia" w:hAnsi="Helvetica"/>
          <w:b/>
          <w:bCs/>
          <w:sz w:val="20"/>
          <w:szCs w:val="20"/>
          <w:lang w:val="en-US"/>
        </w:rPr>
      </w:pPr>
      <w:r w:rsidRPr="00F02F8C">
        <w:rPr>
          <w:rFonts w:ascii="Helvetica" w:eastAsiaTheme="minorEastAsia" w:hAnsi="Helvetica"/>
          <w:b/>
          <w:bCs/>
          <w:sz w:val="20"/>
          <w:szCs w:val="20"/>
          <w:lang w:val="en-US"/>
        </w:rPr>
        <w:t>4. Market</w:t>
      </w:r>
      <w:r w:rsidR="00C24992" w:rsidRPr="00F02F8C">
        <w:rPr>
          <w:rFonts w:ascii="Helvetica" w:eastAsiaTheme="minorEastAsia" w:hAnsi="Helvetica"/>
          <w:b/>
          <w:bCs/>
          <w:sz w:val="20"/>
          <w:szCs w:val="20"/>
          <w:lang w:val="en-US"/>
        </w:rPr>
        <w:t xml:space="preserve"> Model with Scholes-Williams Beta Estimation</w:t>
      </w:r>
    </w:p>
    <w:p w14:paraId="7DEE3F49" w14:textId="77777777" w:rsidR="00C24992" w:rsidRDefault="00C24992" w:rsidP="00FF23D1">
      <w:pPr>
        <w:jc w:val="both"/>
        <w:rPr>
          <w:rFonts w:ascii="Helvetica" w:eastAsiaTheme="minorEastAsia" w:hAnsi="Helvetica"/>
          <w:sz w:val="20"/>
          <w:szCs w:val="20"/>
          <w:lang w:val="en-US"/>
        </w:rPr>
      </w:pPr>
    </w:p>
    <w:p w14:paraId="07706244" w14:textId="77777777" w:rsidR="00C16308" w:rsidRDefault="00C16308" w:rsidP="00C16308">
      <w:pPr>
        <w:jc w:val="both"/>
        <w:rPr>
          <w:rFonts w:ascii="Helvetica" w:eastAsiaTheme="minorEastAsia" w:hAnsi="Helvetica"/>
          <w:sz w:val="20"/>
          <w:szCs w:val="20"/>
          <w:lang w:val="en-US"/>
        </w:rPr>
      </w:pPr>
      <w:r w:rsidRPr="00C16308">
        <w:rPr>
          <w:rFonts w:ascii="Helvetica" w:eastAsiaTheme="minorEastAsia" w:hAnsi="Helvetica"/>
          <w:sz w:val="20"/>
          <w:szCs w:val="20"/>
          <w:lang w:val="en-US"/>
        </w:rPr>
        <w:t>The Market Model with Scholes–</w:t>
      </w:r>
      <w:proofErr w:type="gramStart"/>
      <w:r w:rsidRPr="00C16308">
        <w:rPr>
          <w:rFonts w:ascii="Helvetica" w:eastAsiaTheme="minorEastAsia" w:hAnsi="Helvetica"/>
          <w:sz w:val="20"/>
          <w:szCs w:val="20"/>
          <w:lang w:val="en-US"/>
        </w:rPr>
        <w:t>Williams</w:t>
      </w:r>
      <w:proofErr w:type="gramEnd"/>
      <w:r w:rsidRPr="00C16308">
        <w:rPr>
          <w:rFonts w:ascii="Helvetica" w:eastAsiaTheme="minorEastAsia" w:hAnsi="Helvetica"/>
          <w:sz w:val="20"/>
          <w:szCs w:val="20"/>
          <w:lang w:val="en-US"/>
        </w:rPr>
        <w:t xml:space="preserve"> beta estimation extends the standard Market Model to correct for biases caused by non-synchronous trading between individual securities and the market index. Such non-synchrony commonly arises due to differences in trading hours, thin liquidity, infrequent trading, or trading suspensions, and can lead to downward-biased beta estimates when ordinary least squares (OLS) is applied. In the context of event studies, biased beta estimates distort expected returns and consequently contaminate abnormal return calculations.</w:t>
      </w:r>
    </w:p>
    <w:p w14:paraId="4ADCBB76" w14:textId="77777777" w:rsidR="00AB517C" w:rsidRPr="00C16308" w:rsidRDefault="00AB517C" w:rsidP="00C16308">
      <w:pPr>
        <w:jc w:val="both"/>
        <w:rPr>
          <w:rFonts w:ascii="Helvetica" w:eastAsiaTheme="minorEastAsia" w:hAnsi="Helvetica"/>
          <w:sz w:val="20"/>
          <w:szCs w:val="20"/>
          <w:lang w:val="en-US"/>
        </w:rPr>
      </w:pPr>
    </w:p>
    <w:p w14:paraId="7D767C74" w14:textId="77777777" w:rsidR="00C16308" w:rsidRPr="00C16308" w:rsidRDefault="00C16308" w:rsidP="00C16308">
      <w:pPr>
        <w:jc w:val="both"/>
        <w:rPr>
          <w:rFonts w:ascii="Helvetica" w:eastAsiaTheme="minorEastAsia" w:hAnsi="Helvetica"/>
          <w:sz w:val="20"/>
          <w:szCs w:val="20"/>
          <w:lang w:val="en-US"/>
        </w:rPr>
      </w:pPr>
      <w:r w:rsidRPr="00C16308">
        <w:rPr>
          <w:rFonts w:ascii="Helvetica" w:eastAsiaTheme="minorEastAsia" w:hAnsi="Helvetica"/>
          <w:sz w:val="20"/>
          <w:szCs w:val="20"/>
          <w:lang w:val="en-US"/>
        </w:rPr>
        <w:t>To address this issue, Scholes and Williams (1977) propose an adjusted beta estimator that incorporates both contemporaneous and lagged market returns, accounting for serial correlation in market returns. The Scholes–</w:t>
      </w:r>
      <w:proofErr w:type="gramStart"/>
      <w:r w:rsidRPr="00C16308">
        <w:rPr>
          <w:rFonts w:ascii="Helvetica" w:eastAsiaTheme="minorEastAsia" w:hAnsi="Helvetica"/>
          <w:sz w:val="20"/>
          <w:szCs w:val="20"/>
          <w:lang w:val="en-US"/>
        </w:rPr>
        <w:t>Williams</w:t>
      </w:r>
      <w:proofErr w:type="gramEnd"/>
      <w:r w:rsidRPr="00C16308">
        <w:rPr>
          <w:rFonts w:ascii="Helvetica" w:eastAsiaTheme="minorEastAsia" w:hAnsi="Helvetica"/>
          <w:sz w:val="20"/>
          <w:szCs w:val="20"/>
          <w:lang w:val="en-US"/>
        </w:rPr>
        <w:t xml:space="preserve"> beta is computed as:</w:t>
      </w:r>
    </w:p>
    <w:p w14:paraId="45915F5B" w14:textId="68102562" w:rsidR="00C16308" w:rsidRPr="00C16308" w:rsidRDefault="00C16308" w:rsidP="00C16308">
      <w:pPr>
        <w:jc w:val="both"/>
        <w:rPr>
          <w:rFonts w:ascii="Helvetica" w:eastAsiaTheme="minorEastAsia" w:hAnsi="Helvetica"/>
          <w:sz w:val="20"/>
          <w:szCs w:val="20"/>
          <w:lang w:val="en-US"/>
        </w:rPr>
      </w:pPr>
      <m:oMathPara>
        <m:oMath>
          <m:sSubSup>
            <m:sSubSupPr>
              <m:ctrlPr>
                <w:rPr>
                  <w:rFonts w:ascii="Cambria Math" w:eastAsiaTheme="minorEastAsia" w:hAnsi="Cambria Math"/>
                  <w:sz w:val="20"/>
                  <w:szCs w:val="20"/>
                  <w:lang w:val="en-US"/>
                </w:rPr>
              </m:ctrlPr>
            </m:sSubSup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sub>
            <m:sup>
              <m:r>
                <w:rPr>
                  <w:rFonts w:ascii="Cambria Math" w:eastAsiaTheme="minorEastAsia" w:hAnsi="Cambria Math"/>
                  <w:sz w:val="20"/>
                  <w:szCs w:val="20"/>
                  <w:lang w:val="en-US"/>
                </w:rPr>
                <m:t>SW</m:t>
              </m:r>
            </m:sup>
          </m:sSubSup>
          <m:r>
            <m:rPr>
              <m:sty m:val="p"/>
            </m:rPr>
            <w:rPr>
              <w:rFonts w:ascii="Cambria Math" w:eastAsiaTheme="minorEastAsia" w:hAnsi="Cambria Math"/>
              <w:sz w:val="20"/>
              <w:szCs w:val="20"/>
              <w:lang w:val="en-US"/>
            </w:rPr>
            <m:t>=</m:t>
          </m:r>
          <m:f>
            <m:fPr>
              <m:ctrlPr>
                <w:rPr>
                  <w:rFonts w:ascii="Cambria Math" w:eastAsiaTheme="minorEastAsia" w:hAnsi="Cambria Math"/>
                  <w:sz w:val="20"/>
                  <w:szCs w:val="20"/>
                  <w:lang w:val="en-US"/>
                </w:rPr>
              </m:ctrlPr>
            </m:fPr>
            <m:num>
              <m:r>
                <m:rPr>
                  <m:sty m:val="p"/>
                </m:rPr>
                <w:rPr>
                  <w:rFonts w:ascii="Cambria Math" w:eastAsiaTheme="minorEastAsia" w:hAnsi="Cambria Math"/>
                  <w:sz w:val="20"/>
                  <w:szCs w:val="20"/>
                  <w:lang w:val="en-US"/>
                </w:rPr>
                <m:t>Cov(</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r>
                <m:rPr>
                  <m:sty m:val="p"/>
                </m:rPr>
                <w:rPr>
                  <w:rFonts w:ascii="Cambria Math" w:eastAsiaTheme="minorEastAsia" w:hAnsi="Cambria Math"/>
                  <w:sz w:val="20"/>
                  <w:szCs w:val="20"/>
                  <w:lang w:val="en-US"/>
                </w:rPr>
                <m:t xml:space="preserve">  </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ρ</m:t>
              </m:r>
              <m: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d>
                    <m:dPr>
                      <m:ctrlPr>
                        <w:rPr>
                          <w:rFonts w:ascii="Cambria Math" w:eastAsiaTheme="minorEastAsia" w:hAnsi="Cambria Math"/>
                          <w:sz w:val="20"/>
                          <w:szCs w:val="20"/>
                          <w:lang w:val="en-US"/>
                        </w:rPr>
                      </m:ctrlPr>
                    </m:dPr>
                    <m:e>
                      <m:r>
                        <w:rPr>
                          <w:rFonts w:ascii="Cambria Math" w:eastAsiaTheme="minorEastAsia" w:hAnsi="Cambria Math"/>
                          <w:sz w:val="20"/>
                          <w:szCs w:val="20"/>
                          <w:lang w:val="en-US"/>
                        </w:rPr>
                        <m:t>t</m:t>
                      </m:r>
                      <m:r>
                        <m:rPr>
                          <m:sty m:val="p"/>
                        </m:rPr>
                        <w:rPr>
                          <w:rFonts w:ascii="Cambria Math" w:eastAsiaTheme="minorEastAsia" w:hAnsi="Cambria Math"/>
                          <w:sz w:val="20"/>
                          <w:szCs w:val="20"/>
                          <w:lang w:val="en-US"/>
                        </w:rPr>
                        <m:t>-1</m:t>
                      </m:r>
                    </m:e>
                  </m:d>
                </m:sub>
              </m:sSub>
              <m:r>
                <m:rPr>
                  <m:sty m:val="p"/>
                </m:rPr>
                <w:rPr>
                  <w:rFonts w:ascii="Cambria Math" w:eastAsiaTheme="minorEastAsia" w:hAnsi="Cambria Math"/>
                  <w:sz w:val="20"/>
                  <w:szCs w:val="20"/>
                  <w:lang w:val="en-US"/>
                </w:rPr>
                <m:t>)</m:t>
              </m:r>
            </m:num>
            <m:den>
              <m:r>
                <m:rPr>
                  <m:sty m:val="p"/>
                </m:rPr>
                <w:rPr>
                  <w:rFonts w:ascii="Cambria Math" w:eastAsiaTheme="minorEastAsia" w:hAnsi="Cambria Math"/>
                  <w:sz w:val="20"/>
                  <w:szCs w:val="20"/>
                  <w:lang w:val="en-US"/>
                </w:rPr>
                <m:t>Var</m:t>
              </m:r>
              <m:d>
                <m:dPr>
                  <m:ctrlPr>
                    <w:rPr>
                      <w:rFonts w:ascii="Cambria Math" w:eastAsiaTheme="minorEastAsia" w:hAnsi="Cambria Math"/>
                      <w:sz w:val="20"/>
                      <w:szCs w:val="20"/>
                      <w:lang w:val="en-US"/>
                    </w:rPr>
                  </m:ctrlPr>
                </m:dPr>
                <m:e>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ρ</m:t>
                  </m:r>
                  <m: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d>
                        <m:dPr>
                          <m:ctrlPr>
                            <w:rPr>
                              <w:rFonts w:ascii="Cambria Math" w:eastAsiaTheme="minorEastAsia" w:hAnsi="Cambria Math"/>
                              <w:sz w:val="20"/>
                              <w:szCs w:val="20"/>
                              <w:lang w:val="en-US"/>
                            </w:rPr>
                          </m:ctrlPr>
                        </m:dPr>
                        <m:e>
                          <m:r>
                            <w:rPr>
                              <w:rFonts w:ascii="Cambria Math" w:eastAsiaTheme="minorEastAsia" w:hAnsi="Cambria Math"/>
                              <w:sz w:val="20"/>
                              <w:szCs w:val="20"/>
                              <w:lang w:val="en-US"/>
                            </w:rPr>
                            <m:t>t</m:t>
                          </m:r>
                          <m:r>
                            <m:rPr>
                              <m:sty m:val="p"/>
                            </m:rPr>
                            <w:rPr>
                              <w:rFonts w:ascii="Cambria Math" w:eastAsiaTheme="minorEastAsia" w:hAnsi="Cambria Math"/>
                              <w:sz w:val="20"/>
                              <w:szCs w:val="20"/>
                              <w:lang w:val="en-US"/>
                            </w:rPr>
                            <m:t>-1</m:t>
                          </m:r>
                        </m:e>
                      </m:d>
                    </m:sub>
                  </m:sSub>
                </m:e>
              </m:d>
            </m:den>
          </m:f>
          <m:r>
            <w:rPr>
              <w:rFonts w:ascii="Helvetica" w:eastAsiaTheme="minorEastAsia" w:hAnsi="Helvetica"/>
              <w:sz w:val="20"/>
              <w:szCs w:val="20"/>
              <w:lang w:val="en-US"/>
            </w:rPr>
            <w:br/>
          </m:r>
        </m:oMath>
      </m:oMathPara>
    </w:p>
    <w:p w14:paraId="38234DB5" w14:textId="4E02C44D" w:rsidR="00C16308" w:rsidRDefault="00C16308" w:rsidP="00C16308">
      <w:pPr>
        <w:jc w:val="both"/>
        <w:rPr>
          <w:rFonts w:ascii="Helvetica" w:eastAsiaTheme="minorEastAsia" w:hAnsi="Helvetica"/>
          <w:sz w:val="20"/>
          <w:szCs w:val="20"/>
          <w:lang w:val="en-US"/>
        </w:rPr>
      </w:pPr>
      <w:r w:rsidRPr="00C16308">
        <w:rPr>
          <w:rFonts w:ascii="Helvetica" w:eastAsiaTheme="minorEastAsia" w:hAnsi="Helvetica"/>
          <w:sz w:val="20"/>
          <w:szCs w:val="20"/>
          <w:lang w:val="en-US"/>
        </w:rPr>
        <w:t>where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C16308">
        <w:rPr>
          <w:rFonts w:ascii="Helvetica" w:eastAsiaTheme="minorEastAsia" w:hAnsi="Helvetica"/>
          <w:sz w:val="20"/>
          <w:szCs w:val="20"/>
          <w:lang w:val="en-US"/>
        </w:rPr>
        <w:t> denotes the return of security </w:t>
      </w:r>
      <m:oMath>
        <m:r>
          <w:rPr>
            <w:rFonts w:ascii="Cambria Math" w:eastAsiaTheme="minorEastAsia" w:hAnsi="Cambria Math"/>
            <w:sz w:val="20"/>
            <w:szCs w:val="20"/>
            <w:lang w:val="en-US"/>
          </w:rPr>
          <m:t>i</m:t>
        </m:r>
      </m:oMath>
      <w:r w:rsidRPr="00C16308">
        <w:rPr>
          <w:rFonts w:ascii="Helvetica" w:eastAsiaTheme="minorEastAsia" w:hAnsi="Helvetica"/>
          <w:sz w:val="20"/>
          <w:szCs w:val="20"/>
          <w:lang w:val="en-US"/>
        </w:rPr>
        <w:t> at</w:t>
      </w:r>
      <w:r w:rsidR="00716349">
        <w:rPr>
          <w:rFonts w:ascii="Helvetica" w:eastAsiaTheme="minorEastAsia" w:hAnsi="Helvetica"/>
          <w:sz w:val="20"/>
          <w:szCs w:val="20"/>
          <w:lang w:val="en-US"/>
        </w:rPr>
        <w:t xml:space="preserve"> </w:t>
      </w:r>
      <w:r w:rsidRPr="00C16308">
        <w:rPr>
          <w:rFonts w:ascii="Helvetica" w:eastAsiaTheme="minorEastAsia" w:hAnsi="Helvetica"/>
          <w:sz w:val="20"/>
          <w:szCs w:val="20"/>
          <w:lang w:val="en-US"/>
        </w:rPr>
        <w:t>time </w:t>
      </w:r>
      <m:oMath>
        <m:r>
          <w:rPr>
            <w:rFonts w:ascii="Cambria Math" w:eastAsiaTheme="minorEastAsia" w:hAnsi="Cambria Math"/>
            <w:sz w:val="20"/>
            <w:szCs w:val="20"/>
            <w:lang w:val="en-US"/>
          </w:rPr>
          <m:t>t</m:t>
        </m:r>
      </m:oMath>
      <w:r w:rsidRPr="00C16308">
        <w:rPr>
          <w:rFonts w:ascii="Helvetica" w:eastAsiaTheme="minorEastAsia" w:hAnsi="Helvetica"/>
          <w:sz w:val="20"/>
          <w:szCs w:val="20"/>
          <w:lang w:val="en-US"/>
        </w:rPr>
        <w:t>,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C16308">
        <w:rPr>
          <w:rFonts w:ascii="Helvetica" w:eastAsiaTheme="minorEastAsia" w:hAnsi="Helvetica"/>
          <w:sz w:val="20"/>
          <w:szCs w:val="20"/>
          <w:lang w:val="en-US"/>
        </w:rPr>
        <w:t> is the contemporaneous market return,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d>
              <m:dPr>
                <m:ctrlPr>
                  <w:rPr>
                    <w:rFonts w:ascii="Cambria Math" w:eastAsiaTheme="minorEastAsia" w:hAnsi="Cambria Math"/>
                    <w:sz w:val="20"/>
                    <w:szCs w:val="20"/>
                    <w:lang w:val="en-US"/>
                  </w:rPr>
                </m:ctrlPr>
              </m:dPr>
              <m:e>
                <m:r>
                  <w:rPr>
                    <w:rFonts w:ascii="Cambria Math" w:eastAsiaTheme="minorEastAsia" w:hAnsi="Cambria Math"/>
                    <w:sz w:val="20"/>
                    <w:szCs w:val="20"/>
                    <w:lang w:val="en-US"/>
                  </w:rPr>
                  <m:t>t</m:t>
                </m:r>
                <m:r>
                  <m:rPr>
                    <m:sty m:val="p"/>
                  </m:rPr>
                  <w:rPr>
                    <w:rFonts w:ascii="Cambria Math" w:eastAsiaTheme="minorEastAsia" w:hAnsi="Cambria Math"/>
                    <w:sz w:val="20"/>
                    <w:szCs w:val="20"/>
                    <w:lang w:val="en-US"/>
                  </w:rPr>
                  <m:t>-1</m:t>
                </m:r>
              </m:e>
            </m:d>
          </m:sub>
        </m:sSub>
      </m:oMath>
      <w:r w:rsidRPr="00C16308">
        <w:rPr>
          <w:rFonts w:ascii="Helvetica" w:eastAsiaTheme="minorEastAsia" w:hAnsi="Helvetica"/>
          <w:sz w:val="20"/>
          <w:szCs w:val="20"/>
          <w:lang w:val="en-US"/>
        </w:rPr>
        <w:t> is the lagged market return, and </w:t>
      </w:r>
      <m:oMath>
        <m:r>
          <w:rPr>
            <w:rFonts w:ascii="Cambria Math" w:eastAsiaTheme="minorEastAsia" w:hAnsi="Cambria Math"/>
            <w:sz w:val="20"/>
            <w:szCs w:val="20"/>
            <w:lang w:val="en-US"/>
          </w:rPr>
          <m:t>ρ</m:t>
        </m:r>
      </m:oMath>
      <w:r w:rsidRPr="00C16308">
        <w:rPr>
          <w:rFonts w:ascii="Helvetica" w:eastAsiaTheme="minorEastAsia" w:hAnsi="Helvetica"/>
          <w:sz w:val="20"/>
          <w:szCs w:val="20"/>
          <w:lang w:val="en-US"/>
        </w:rPr>
        <w:t> is the first-order autocorrelation coefficient of market returns. The inclusion of lagged market returns allows the estimator to capture delayed price adjustments in securities that do not trade synchronously with the market.</w:t>
      </w:r>
      <w:r w:rsidR="00885EE4">
        <w:rPr>
          <w:rFonts w:ascii="Helvetica" w:eastAsiaTheme="minorEastAsia" w:hAnsi="Helvetica"/>
          <w:sz w:val="20"/>
          <w:szCs w:val="20"/>
          <w:lang w:val="en-US"/>
        </w:rPr>
        <w:t xml:space="preserve"> </w:t>
      </w:r>
      <w:r w:rsidRPr="00C16308">
        <w:rPr>
          <w:rFonts w:ascii="Helvetica" w:eastAsiaTheme="minorEastAsia" w:hAnsi="Helvetica"/>
          <w:sz w:val="20"/>
          <w:szCs w:val="20"/>
          <w:lang w:val="en-US"/>
        </w:rPr>
        <w:t>Using the Scholes–</w:t>
      </w:r>
      <w:proofErr w:type="gramStart"/>
      <w:r w:rsidRPr="00C16308">
        <w:rPr>
          <w:rFonts w:ascii="Helvetica" w:eastAsiaTheme="minorEastAsia" w:hAnsi="Helvetica"/>
          <w:sz w:val="20"/>
          <w:szCs w:val="20"/>
          <w:lang w:val="en-US"/>
        </w:rPr>
        <w:t>Williams</w:t>
      </w:r>
      <w:proofErr w:type="gramEnd"/>
      <w:r w:rsidRPr="00C16308">
        <w:rPr>
          <w:rFonts w:ascii="Helvetica" w:eastAsiaTheme="minorEastAsia" w:hAnsi="Helvetica"/>
          <w:sz w:val="20"/>
          <w:szCs w:val="20"/>
          <w:lang w:val="en-US"/>
        </w:rPr>
        <w:t xml:space="preserve"> beta, the Market Model is specified as:</w:t>
      </w:r>
    </w:p>
    <w:p w14:paraId="0CEA3058" w14:textId="77777777" w:rsidR="007A251D" w:rsidRPr="00C16308" w:rsidRDefault="007A251D" w:rsidP="00C16308">
      <w:pPr>
        <w:jc w:val="both"/>
        <w:rPr>
          <w:rFonts w:ascii="Helvetica" w:eastAsiaTheme="minorEastAsia" w:hAnsi="Helvetica"/>
          <w:sz w:val="20"/>
          <w:szCs w:val="20"/>
          <w:lang w:val="en-US"/>
        </w:rPr>
      </w:pPr>
    </w:p>
    <w:p w14:paraId="3D68E4A8" w14:textId="77777777" w:rsidR="00C16308" w:rsidRPr="00C16308" w:rsidRDefault="00C16308" w:rsidP="00C16308">
      <w:pPr>
        <w:jc w:val="both"/>
        <w:rPr>
          <w:rFonts w:ascii="Helvetica" w:eastAsiaTheme="minorEastAsia" w:hAnsi="Helvetica"/>
          <w:sz w:val="20"/>
          <w:szCs w:val="20"/>
          <w:lang w:val="en-US"/>
        </w:rPr>
      </w:pPr>
      <m:oMathPara>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r>
            <m:rPr>
              <m:sty m:val="p"/>
            </m:rPr>
            <w:rPr>
              <w:rFonts w:ascii="Cambria Math" w:eastAsiaTheme="minorEastAsia" w:hAnsi="Cambria Math"/>
              <w:sz w:val="20"/>
              <w:szCs w:val="20"/>
              <w:lang w:val="en-US"/>
            </w:rPr>
            <m:t>+</m:t>
          </m:r>
          <m:sSubSup>
            <m:sSubSupPr>
              <m:ctrlPr>
                <w:rPr>
                  <w:rFonts w:ascii="Cambria Math" w:eastAsiaTheme="minorEastAsia" w:hAnsi="Cambria Math"/>
                  <w:sz w:val="20"/>
                  <w:szCs w:val="20"/>
                  <w:lang w:val="en-US"/>
                </w:rPr>
              </m:ctrlPr>
            </m:sSubSup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sub>
            <m:sup>
              <m:r>
                <w:rPr>
                  <w:rFonts w:ascii="Cambria Math" w:eastAsiaTheme="minorEastAsia" w:hAnsi="Cambria Math"/>
                  <w:sz w:val="20"/>
                  <w:szCs w:val="20"/>
                  <w:lang w:val="en-US"/>
                </w:rPr>
                <m:t>SW</m:t>
              </m:r>
            </m:sup>
          </m:sSubSup>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7C18DAF1" w14:textId="77777777" w:rsidR="00C16308" w:rsidRDefault="00C16308" w:rsidP="00C16308">
      <w:pPr>
        <w:jc w:val="both"/>
        <w:rPr>
          <w:rFonts w:ascii="Helvetica" w:eastAsiaTheme="minorEastAsia" w:hAnsi="Helvetica"/>
          <w:sz w:val="20"/>
          <w:szCs w:val="20"/>
          <w:lang w:val="en-US"/>
        </w:rPr>
      </w:pPr>
      <w:r w:rsidRPr="00C16308">
        <w:rPr>
          <w:rFonts w:ascii="Helvetica" w:eastAsiaTheme="minorEastAsia" w:hAnsi="Helvetica"/>
          <w:sz w:val="20"/>
          <w:szCs w:val="20"/>
          <w:lang w:val="en-US"/>
        </w:rPr>
        <w:t>Abnormal returns are then calculated analogously to the standard Market Model:</w:t>
      </w:r>
    </w:p>
    <w:p w14:paraId="4195E40A" w14:textId="77777777" w:rsidR="009771F1" w:rsidRPr="00C16308" w:rsidRDefault="009771F1" w:rsidP="00C16308">
      <w:pPr>
        <w:jc w:val="both"/>
        <w:rPr>
          <w:rFonts w:ascii="Helvetica" w:eastAsiaTheme="minorEastAsia" w:hAnsi="Helvetica"/>
          <w:sz w:val="20"/>
          <w:szCs w:val="20"/>
          <w:lang w:val="en-US"/>
        </w:rPr>
      </w:pPr>
    </w:p>
    <w:p w14:paraId="60944E8D" w14:textId="77777777" w:rsidR="00C16308" w:rsidRPr="00C16308" w:rsidRDefault="00C16308" w:rsidP="00C16308">
      <w:pPr>
        <w:jc w:val="both"/>
        <w:rPr>
          <w:rFonts w:ascii="Helvetica" w:eastAsiaTheme="minorEastAsia" w:hAnsi="Helvetica"/>
          <w:sz w:val="20"/>
          <w:szCs w:val="20"/>
          <w:lang w:val="en-US"/>
        </w:rPr>
      </w:pPr>
      <m:oMathPara>
        <m:oMath>
          <m:r>
            <w:rPr>
              <w:rFonts w:ascii="Cambria Math" w:eastAsiaTheme="minorEastAsia" w:hAnsi="Cambria Math"/>
              <w:sz w:val="20"/>
              <w:szCs w:val="20"/>
              <w:lang w:val="en-US"/>
            </w:rPr>
            <m:t>A</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d>
            <m:dPr>
              <m:sepChr m:val="+"/>
              <m:ctrlPr>
                <w:rPr>
                  <w:rFonts w:ascii="Cambria Math" w:eastAsiaTheme="minorEastAsia" w:hAnsi="Cambria Math"/>
                  <w:sz w:val="20"/>
                  <w:szCs w:val="20"/>
                  <w:lang w:val="en-US"/>
                </w:rPr>
              </m:ctrlPr>
            </m:dPr>
            <m:e>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e>
            <m:e>
              <m:sSubSup>
                <m:sSubSupPr>
                  <m:ctrlPr>
                    <w:rPr>
                      <w:rFonts w:ascii="Cambria Math" w:eastAsiaTheme="minorEastAsia" w:hAnsi="Cambria Math"/>
                      <w:sz w:val="20"/>
                      <w:szCs w:val="20"/>
                      <w:lang w:val="en-US"/>
                    </w:rPr>
                  </m:ctrlPr>
                </m:sSubSup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sub>
                <m:sup>
                  <m:r>
                    <w:rPr>
                      <w:rFonts w:ascii="Cambria Math" w:eastAsiaTheme="minorEastAsia" w:hAnsi="Cambria Math"/>
                      <w:sz w:val="20"/>
                      <w:szCs w:val="20"/>
                      <w:lang w:val="en-US"/>
                    </w:rPr>
                    <m:t>SW</m:t>
                  </m:r>
                </m:sup>
              </m:sSubSup>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e>
          </m:d>
          <m:r>
            <w:rPr>
              <w:rFonts w:ascii="Helvetica" w:eastAsiaTheme="minorEastAsia" w:hAnsi="Helvetica"/>
              <w:sz w:val="20"/>
              <w:szCs w:val="20"/>
              <w:lang w:val="en-US"/>
            </w:rPr>
            <w:br/>
          </m:r>
        </m:oMath>
      </m:oMathPara>
    </w:p>
    <w:p w14:paraId="349672EE" w14:textId="77777777" w:rsidR="00C16308" w:rsidRPr="00C16308" w:rsidRDefault="00C16308" w:rsidP="00C16308">
      <w:pPr>
        <w:jc w:val="both"/>
        <w:rPr>
          <w:rFonts w:ascii="Helvetica" w:eastAsiaTheme="minorEastAsia" w:hAnsi="Helvetica"/>
          <w:sz w:val="20"/>
          <w:szCs w:val="20"/>
          <w:lang w:val="en-US"/>
        </w:rPr>
      </w:pPr>
      <w:r w:rsidRPr="00C16308">
        <w:rPr>
          <w:rFonts w:ascii="Helvetica" w:eastAsiaTheme="minorEastAsia" w:hAnsi="Helvetica"/>
          <w:sz w:val="20"/>
          <w:szCs w:val="20"/>
          <w:lang w:val="en-US"/>
        </w:rPr>
        <w:t>By correcting for non-synchronous trading effects, the Scholes–</w:t>
      </w:r>
      <w:proofErr w:type="gramStart"/>
      <w:r w:rsidRPr="00C16308">
        <w:rPr>
          <w:rFonts w:ascii="Helvetica" w:eastAsiaTheme="minorEastAsia" w:hAnsi="Helvetica"/>
          <w:sz w:val="20"/>
          <w:szCs w:val="20"/>
          <w:lang w:val="en-US"/>
        </w:rPr>
        <w:t>Williams</w:t>
      </w:r>
      <w:proofErr w:type="gramEnd"/>
      <w:r w:rsidRPr="00C16308">
        <w:rPr>
          <w:rFonts w:ascii="Helvetica" w:eastAsiaTheme="minorEastAsia" w:hAnsi="Helvetica"/>
          <w:sz w:val="20"/>
          <w:szCs w:val="20"/>
          <w:lang w:val="en-US"/>
        </w:rPr>
        <w:t xml:space="preserve"> adjustment improves the accuracy of beta estimation and yields more reliable abnormal return measures, particularly for illiquid stocks or markets with infrequent trading. This makes the model especially relevant in event studies involving small-cap securities, emerging markets, or high-frequency event windows.</w:t>
      </w:r>
    </w:p>
    <w:p w14:paraId="47FB9BB6" w14:textId="77777777" w:rsidR="00C24992" w:rsidRDefault="00C24992" w:rsidP="00FF23D1">
      <w:pPr>
        <w:jc w:val="both"/>
        <w:rPr>
          <w:rFonts w:ascii="Helvetica" w:eastAsiaTheme="minorEastAsia" w:hAnsi="Helvetica"/>
          <w:sz w:val="20"/>
          <w:szCs w:val="20"/>
          <w:lang w:val="en-US"/>
        </w:rPr>
      </w:pPr>
    </w:p>
    <w:p w14:paraId="43D1C03E" w14:textId="709E9489" w:rsidR="0000745A" w:rsidRPr="00DB532D" w:rsidRDefault="00DB532D" w:rsidP="00FF23D1">
      <w:pPr>
        <w:jc w:val="both"/>
        <w:rPr>
          <w:rFonts w:ascii="Helvetica" w:eastAsiaTheme="minorEastAsia" w:hAnsi="Helvetica"/>
          <w:b/>
          <w:bCs/>
          <w:sz w:val="20"/>
          <w:szCs w:val="20"/>
          <w:lang w:val="en-US"/>
        </w:rPr>
      </w:pPr>
      <w:r w:rsidRPr="00DB532D">
        <w:rPr>
          <w:rFonts w:ascii="Helvetica" w:eastAsiaTheme="minorEastAsia" w:hAnsi="Helvetica"/>
          <w:b/>
          <w:bCs/>
          <w:sz w:val="20"/>
          <w:szCs w:val="20"/>
          <w:lang w:val="en-US"/>
        </w:rPr>
        <w:t>5. Fama-French Three-Factor Model</w:t>
      </w:r>
    </w:p>
    <w:p w14:paraId="5CAEDB83" w14:textId="77777777" w:rsidR="00DB532D" w:rsidRDefault="00DB532D" w:rsidP="00FF23D1">
      <w:pPr>
        <w:jc w:val="both"/>
        <w:rPr>
          <w:rFonts w:ascii="Helvetica" w:eastAsiaTheme="minorEastAsia" w:hAnsi="Helvetica"/>
          <w:sz w:val="20"/>
          <w:szCs w:val="20"/>
          <w:lang w:val="en-US"/>
        </w:rPr>
      </w:pPr>
    </w:p>
    <w:p w14:paraId="6F4B36B2" w14:textId="77777777" w:rsidR="00E1627F" w:rsidRDefault="00E1627F" w:rsidP="00E1627F">
      <w:pPr>
        <w:jc w:val="both"/>
        <w:rPr>
          <w:rFonts w:ascii="Helvetica" w:eastAsiaTheme="minorEastAsia" w:hAnsi="Helvetica"/>
          <w:sz w:val="20"/>
          <w:szCs w:val="20"/>
          <w:lang w:val="en-US"/>
        </w:rPr>
      </w:pPr>
      <w:r w:rsidRPr="00E1627F">
        <w:rPr>
          <w:rFonts w:ascii="Helvetica" w:eastAsiaTheme="minorEastAsia" w:hAnsi="Helvetica"/>
          <w:sz w:val="20"/>
          <w:szCs w:val="20"/>
          <w:lang w:val="en-US"/>
        </w:rPr>
        <w:t xml:space="preserve">The Fama–French Three-Factor Model extends the Capital Asset Pricing Model (CAPM) by incorporating additional systematic risk factors that explain variations in stock returns beyond market risk alone. Developed by Fama and French (1993), the model addresses empirical shortcomings of the CAPM by </w:t>
      </w:r>
      <w:proofErr w:type="spellStart"/>
      <w:r w:rsidRPr="00E1627F">
        <w:rPr>
          <w:rFonts w:ascii="Helvetica" w:eastAsiaTheme="minorEastAsia" w:hAnsi="Helvetica"/>
          <w:sz w:val="20"/>
          <w:szCs w:val="20"/>
          <w:lang w:val="en-US"/>
        </w:rPr>
        <w:t>recognising</w:t>
      </w:r>
      <w:proofErr w:type="spellEnd"/>
      <w:r w:rsidRPr="00E1627F">
        <w:rPr>
          <w:rFonts w:ascii="Helvetica" w:eastAsiaTheme="minorEastAsia" w:hAnsi="Helvetica"/>
          <w:sz w:val="20"/>
          <w:szCs w:val="20"/>
          <w:lang w:val="en-US"/>
        </w:rPr>
        <w:t xml:space="preserve"> persistent return patterns related to firm size and valuation characteristics. As a result, it provides a more comprehensive framework for estimating expected returns in asset pricing and event study applications.</w:t>
      </w:r>
    </w:p>
    <w:p w14:paraId="2A8F5409" w14:textId="77777777" w:rsidR="00E1627F" w:rsidRPr="00E1627F" w:rsidRDefault="00E1627F" w:rsidP="00E1627F">
      <w:pPr>
        <w:jc w:val="both"/>
        <w:rPr>
          <w:rFonts w:ascii="Helvetica" w:eastAsiaTheme="minorEastAsia" w:hAnsi="Helvetica"/>
          <w:sz w:val="20"/>
          <w:szCs w:val="20"/>
          <w:lang w:val="en-US"/>
        </w:rPr>
      </w:pPr>
    </w:p>
    <w:p w14:paraId="0C5BF73C" w14:textId="059181B9" w:rsidR="00E1627F" w:rsidRDefault="00E1627F" w:rsidP="00E1627F">
      <w:pPr>
        <w:jc w:val="both"/>
        <w:rPr>
          <w:rFonts w:ascii="Helvetica" w:eastAsiaTheme="minorEastAsia" w:hAnsi="Helvetica"/>
          <w:sz w:val="20"/>
          <w:szCs w:val="20"/>
          <w:lang w:val="en-US"/>
        </w:rPr>
      </w:pPr>
      <w:r w:rsidRPr="00E1627F">
        <w:rPr>
          <w:rFonts w:ascii="Helvetica" w:eastAsiaTheme="minorEastAsia" w:hAnsi="Helvetica"/>
          <w:sz w:val="20"/>
          <w:szCs w:val="20"/>
          <w:lang w:val="en-US"/>
        </w:rPr>
        <w:t>In addition to the market risk premium, the model includes two additional factors: SMB (Small Minus Big), which captures the size premium associated with small-</w:t>
      </w:r>
      <w:proofErr w:type="spellStart"/>
      <w:r w:rsidRPr="00E1627F">
        <w:rPr>
          <w:rFonts w:ascii="Helvetica" w:eastAsiaTheme="minorEastAsia" w:hAnsi="Helvetica"/>
          <w:sz w:val="20"/>
          <w:szCs w:val="20"/>
          <w:lang w:val="en-US"/>
        </w:rPr>
        <w:t>capitalisation</w:t>
      </w:r>
      <w:proofErr w:type="spellEnd"/>
      <w:r w:rsidRPr="00E1627F">
        <w:rPr>
          <w:rFonts w:ascii="Helvetica" w:eastAsiaTheme="minorEastAsia" w:hAnsi="Helvetica"/>
          <w:sz w:val="20"/>
          <w:szCs w:val="20"/>
          <w:lang w:val="en-US"/>
        </w:rPr>
        <w:t xml:space="preserve"> stocks, and HML (High Minus Low), which captures the value premium observed in high book-to-market stocks. These factors reflect systematic sources of risk that are not accounted for by the CAPM but have been shown to significantly influence the cross-section of stock returns.</w:t>
      </w:r>
      <w:r w:rsidR="009B659F">
        <w:rPr>
          <w:rFonts w:ascii="Helvetica" w:eastAsiaTheme="minorEastAsia" w:hAnsi="Helvetica"/>
          <w:sz w:val="20"/>
          <w:szCs w:val="20"/>
          <w:lang w:val="en-US"/>
        </w:rPr>
        <w:t xml:space="preserve"> </w:t>
      </w:r>
      <w:r w:rsidRPr="00E1627F">
        <w:rPr>
          <w:rFonts w:ascii="Helvetica" w:eastAsiaTheme="minorEastAsia" w:hAnsi="Helvetica"/>
          <w:sz w:val="20"/>
          <w:szCs w:val="20"/>
          <w:lang w:val="en-US"/>
        </w:rPr>
        <w:t>The Fama–French Three-Factor Model is specified as:</w:t>
      </w:r>
    </w:p>
    <w:p w14:paraId="04C69FD3" w14:textId="77777777" w:rsidR="009B659F" w:rsidRPr="00E1627F" w:rsidRDefault="009B659F" w:rsidP="00E1627F">
      <w:pPr>
        <w:jc w:val="both"/>
        <w:rPr>
          <w:rFonts w:ascii="Helvetica" w:eastAsiaTheme="minorEastAsia" w:hAnsi="Helvetica"/>
          <w:sz w:val="20"/>
          <w:szCs w:val="20"/>
          <w:lang w:val="en-US"/>
        </w:rPr>
      </w:pPr>
    </w:p>
    <w:p w14:paraId="3F285F4F" w14:textId="77777777" w:rsidR="00E1627F" w:rsidRPr="00E1627F" w:rsidRDefault="00E1627F" w:rsidP="00E1627F">
      <w:pPr>
        <w:jc w:val="both"/>
        <w:rPr>
          <w:rFonts w:ascii="Helvetica" w:eastAsiaTheme="minorEastAsia" w:hAnsi="Helvetica"/>
          <w:sz w:val="20"/>
          <w:szCs w:val="20"/>
          <w:lang w:val="en-US"/>
        </w:rPr>
      </w:pPr>
      <m:oMathPara>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f</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M</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f</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SMB</m:t>
              </m:r>
            </m:sub>
          </m:sSub>
          <m:r>
            <m:rPr>
              <m:nor/>
            </m:rPr>
            <w:rPr>
              <w:rFonts w:ascii="Helvetica" w:eastAsiaTheme="minorEastAsia" w:hAnsi="Helvetica"/>
              <w:sz w:val="20"/>
              <w:szCs w:val="20"/>
              <w:lang w:val="en-US"/>
            </w:rPr>
            <m:t> </m:t>
          </m:r>
          <m:r>
            <w:rPr>
              <w:rFonts w:ascii="Cambria Math" w:eastAsiaTheme="minorEastAsia" w:hAnsi="Cambria Math"/>
              <w:sz w:val="20"/>
              <w:szCs w:val="20"/>
              <w:lang w:val="en-US"/>
            </w:rPr>
            <m:t>SM</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B</m:t>
              </m:r>
            </m:e>
            <m:sub>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HML</m:t>
              </m:r>
            </m:sub>
          </m:sSub>
          <m:r>
            <m:rPr>
              <m:nor/>
            </m:rPr>
            <w:rPr>
              <w:rFonts w:ascii="Helvetica" w:eastAsiaTheme="minorEastAsia" w:hAnsi="Helvetica"/>
              <w:sz w:val="20"/>
              <w:szCs w:val="20"/>
              <w:lang w:val="en-US"/>
            </w:rPr>
            <m:t> </m:t>
          </m:r>
          <m:r>
            <w:rPr>
              <w:rFonts w:ascii="Cambria Math" w:eastAsiaTheme="minorEastAsia" w:hAnsi="Cambria Math"/>
              <w:sz w:val="20"/>
              <w:szCs w:val="20"/>
              <w:lang w:val="en-US"/>
            </w:rPr>
            <m:t>HM</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L</m:t>
              </m:r>
            </m:e>
            <m:sub>
              <m:r>
                <w:rPr>
                  <w:rFonts w:ascii="Cambria Math" w:eastAsiaTheme="minorEastAsia" w:hAnsi="Cambria Math"/>
                  <w:sz w:val="20"/>
                  <w:szCs w:val="20"/>
                  <w:lang w:val="en-US"/>
                </w:rPr>
                <m:t>t</m:t>
              </m:r>
            </m:sub>
          </m:sSub>
          <m:r>
            <m:rPr>
              <m:sty m:val="p"/>
            </m:rPr>
            <w:rPr>
              <w:rFonts w:ascii="Cambria Math" w:eastAsiaTheme="minorEastAsia" w:hAnsi="Cambria Math"/>
              <w:sz w:val="20"/>
              <w:szCs w:val="20"/>
              <w:lang w:val="en-US"/>
            </w:rPr>
            <m:t>+</m:t>
          </m:r>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r>
            <w:rPr>
              <w:rFonts w:ascii="Helvetica" w:eastAsiaTheme="minorEastAsia" w:hAnsi="Helvetica"/>
              <w:sz w:val="20"/>
              <w:szCs w:val="20"/>
              <w:lang w:val="en-US"/>
            </w:rPr>
            <w:br/>
          </m:r>
        </m:oMath>
      </m:oMathPara>
    </w:p>
    <w:p w14:paraId="0ADD417A" w14:textId="77777777" w:rsidR="00E1627F" w:rsidRPr="00E1627F" w:rsidRDefault="00E1627F" w:rsidP="00E1627F">
      <w:pPr>
        <w:jc w:val="both"/>
        <w:rPr>
          <w:rFonts w:ascii="Helvetica" w:eastAsiaTheme="minorEastAsia" w:hAnsi="Helvetica"/>
          <w:sz w:val="20"/>
          <w:szCs w:val="20"/>
          <w:lang w:val="en-US"/>
        </w:rPr>
      </w:pPr>
      <w:r w:rsidRPr="00E1627F">
        <w:rPr>
          <w:rFonts w:ascii="Helvetica" w:eastAsiaTheme="minorEastAsia" w:hAnsi="Helvetica"/>
          <w:sz w:val="20"/>
          <w:szCs w:val="20"/>
          <w:lang w:val="en-US"/>
        </w:rPr>
        <w:t>where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E1627F">
        <w:rPr>
          <w:rFonts w:ascii="Helvetica" w:eastAsiaTheme="minorEastAsia" w:hAnsi="Helvetica"/>
          <w:sz w:val="20"/>
          <w:szCs w:val="20"/>
          <w:lang w:val="en-US"/>
        </w:rPr>
        <w:t> denotes the return of security or portfolio </w:t>
      </w:r>
      <m:oMath>
        <m:r>
          <w:rPr>
            <w:rFonts w:ascii="Cambria Math" w:eastAsiaTheme="minorEastAsia" w:hAnsi="Cambria Math"/>
            <w:sz w:val="20"/>
            <w:szCs w:val="20"/>
            <w:lang w:val="en-US"/>
          </w:rPr>
          <m:t>i</m:t>
        </m:r>
      </m:oMath>
      <w:r w:rsidRPr="00E1627F">
        <w:rPr>
          <w:rFonts w:ascii="Helvetica" w:eastAsiaTheme="minorEastAsia" w:hAnsi="Helvetica"/>
          <w:sz w:val="20"/>
          <w:szCs w:val="20"/>
          <w:lang w:val="en-US"/>
        </w:rPr>
        <w:t> at time </w:t>
      </w:r>
      <m:oMath>
        <m:r>
          <w:rPr>
            <w:rFonts w:ascii="Cambria Math" w:eastAsiaTheme="minorEastAsia" w:hAnsi="Cambria Math"/>
            <w:sz w:val="20"/>
            <w:szCs w:val="20"/>
            <w:lang w:val="en-US"/>
          </w:rPr>
          <m:t>t</m:t>
        </m:r>
      </m:oMath>
      <w:r w:rsidRPr="00E1627F">
        <w:rPr>
          <w:rFonts w:ascii="Helvetica" w:eastAsiaTheme="minorEastAsia" w:hAnsi="Helvetica"/>
          <w:sz w:val="20"/>
          <w:szCs w:val="20"/>
          <w:lang w:val="en-US"/>
        </w:rPr>
        <w:t>,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f</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E1627F">
        <w:rPr>
          <w:rFonts w:ascii="Helvetica" w:eastAsiaTheme="minorEastAsia" w:hAnsi="Helvetica"/>
          <w:sz w:val="20"/>
          <w:szCs w:val="20"/>
          <w:lang w:val="en-US"/>
        </w:rPr>
        <w:t> is the risk-free rate, and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R</m:t>
            </m:r>
          </m:e>
          <m:sub>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E1627F">
        <w:rPr>
          <w:rFonts w:ascii="Helvetica" w:eastAsiaTheme="minorEastAsia" w:hAnsi="Helvetica"/>
          <w:sz w:val="20"/>
          <w:szCs w:val="20"/>
          <w:lang w:val="en-US"/>
        </w:rPr>
        <w:t> is the market portfolio return. The term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α</m:t>
            </m:r>
          </m:e>
          <m:sub>
            <m:r>
              <w:rPr>
                <w:rFonts w:ascii="Cambria Math" w:eastAsiaTheme="minorEastAsia" w:hAnsi="Cambria Math"/>
                <w:sz w:val="20"/>
                <w:szCs w:val="20"/>
                <w:lang w:val="en-US"/>
              </w:rPr>
              <m:t>i</m:t>
            </m:r>
          </m:sub>
        </m:sSub>
      </m:oMath>
      <w:r w:rsidRPr="00E1627F">
        <w:rPr>
          <w:rFonts w:ascii="Helvetica" w:eastAsiaTheme="minorEastAsia" w:hAnsi="Helvetica"/>
          <w:sz w:val="20"/>
          <w:szCs w:val="20"/>
          <w:lang w:val="en-US"/>
        </w:rPr>
        <w:t> represents the abnormal return unexplained by the factors, while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M</m:t>
            </m:r>
          </m:sub>
        </m:sSub>
      </m:oMath>
      <w:r w:rsidRPr="00E1627F">
        <w:rPr>
          <w:rFonts w:ascii="Helvetica" w:eastAsiaTheme="minorEastAsia" w:hAnsi="Helvetica"/>
          <w:sz w:val="20"/>
          <w:szCs w:val="20"/>
          <w:lang w:val="en-US"/>
        </w:rPr>
        <w:t>,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SMB</m:t>
            </m:r>
          </m:sub>
        </m:sSub>
      </m:oMath>
      <w:r w:rsidRPr="00E1627F">
        <w:rPr>
          <w:rFonts w:ascii="Helvetica" w:eastAsiaTheme="minorEastAsia" w:hAnsi="Helvetica"/>
          <w:sz w:val="20"/>
          <w:szCs w:val="20"/>
          <w:lang w:val="en-US"/>
        </w:rPr>
        <w:t>, and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β</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HML</m:t>
            </m:r>
          </m:sub>
        </m:sSub>
      </m:oMath>
      <w:r w:rsidRPr="00E1627F">
        <w:rPr>
          <w:rFonts w:ascii="Helvetica" w:eastAsiaTheme="minorEastAsia" w:hAnsi="Helvetica"/>
          <w:sz w:val="20"/>
          <w:szCs w:val="20"/>
          <w:lang w:val="en-US"/>
        </w:rPr>
        <w:t> are factor loadings measuring exposure to the market, size, and value factors, respectively. The error term </w:t>
      </w:r>
      <m:oMath>
        <m:sSub>
          <m:sSubPr>
            <m:ctrlPr>
              <w:rPr>
                <w:rFonts w:ascii="Cambria Math" w:eastAsiaTheme="minorEastAsia" w:hAnsi="Cambria Math"/>
                <w:sz w:val="20"/>
                <w:szCs w:val="20"/>
                <w:lang w:val="en-US"/>
              </w:rPr>
            </m:ctrlPr>
          </m:sSubPr>
          <m:e>
            <m:r>
              <w:rPr>
                <w:rFonts w:ascii="Cambria Math" w:eastAsiaTheme="minorEastAsia" w:hAnsi="Cambria Math"/>
                <w:sz w:val="20"/>
                <w:szCs w:val="20"/>
                <w:lang w:val="en-US"/>
              </w:rPr>
              <m:t>ε</m:t>
            </m:r>
          </m:e>
          <m:sub>
            <m:r>
              <w:rPr>
                <w:rFonts w:ascii="Cambria Math" w:eastAsiaTheme="minorEastAsia" w:hAnsi="Cambria Math"/>
                <w:sz w:val="20"/>
                <w:szCs w:val="20"/>
                <w:lang w:val="en-US"/>
              </w:rPr>
              <m:t>i</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t</m:t>
            </m:r>
          </m:sub>
        </m:sSub>
      </m:oMath>
      <w:r w:rsidRPr="00E1627F">
        <w:rPr>
          <w:rFonts w:ascii="Helvetica" w:eastAsiaTheme="minorEastAsia" w:hAnsi="Helvetica"/>
          <w:sz w:val="20"/>
          <w:szCs w:val="20"/>
          <w:lang w:val="en-US"/>
        </w:rPr>
        <w:t> captures idiosyncratic variation in returns.</w:t>
      </w:r>
    </w:p>
    <w:p w14:paraId="7895778C" w14:textId="77777777" w:rsidR="00A37F33" w:rsidRDefault="00A37F33" w:rsidP="00E1627F">
      <w:pPr>
        <w:jc w:val="both"/>
        <w:rPr>
          <w:rFonts w:ascii="Helvetica" w:eastAsiaTheme="minorEastAsia" w:hAnsi="Helvetica"/>
          <w:sz w:val="20"/>
          <w:szCs w:val="20"/>
          <w:lang w:val="en-US"/>
        </w:rPr>
      </w:pPr>
    </w:p>
    <w:p w14:paraId="0CB17247" w14:textId="7EC6154C" w:rsidR="00DB532D" w:rsidRDefault="00E1627F" w:rsidP="00FF23D1">
      <w:pPr>
        <w:jc w:val="both"/>
        <w:rPr>
          <w:rFonts w:ascii="Helvetica" w:eastAsiaTheme="minorEastAsia" w:hAnsi="Helvetica"/>
          <w:sz w:val="20"/>
          <w:szCs w:val="20"/>
          <w:lang w:val="en-US"/>
        </w:rPr>
      </w:pPr>
      <w:r w:rsidRPr="00E1627F">
        <w:rPr>
          <w:rFonts w:ascii="Helvetica" w:eastAsiaTheme="minorEastAsia" w:hAnsi="Helvetica"/>
          <w:sz w:val="20"/>
          <w:szCs w:val="20"/>
          <w:lang w:val="en-US"/>
        </w:rPr>
        <w:t>In event studies, the model is estimated over a pre-event estimation window, and abnormal returns are computed as deviations from the factor-adjusted expected return. By controlling for multiple dimensions of systematic risk, the Fama–French Three-Factor Model reduces omitted variable bias and yields more reliable abnormal return estimates than single-factor models such as the CAPM. Consequently, it is widely employed in empirical finance research, particularly in studies involving equity markets where size and value effects are pronounced.</w:t>
      </w:r>
    </w:p>
    <w:p w14:paraId="39346F30" w14:textId="77777777" w:rsidR="001D1C9D" w:rsidRDefault="001D1C9D" w:rsidP="007A612C">
      <w:pPr>
        <w:jc w:val="both"/>
        <w:rPr>
          <w:rFonts w:ascii="Helvetica" w:eastAsiaTheme="minorEastAsia" w:hAnsi="Helvetica"/>
          <w:sz w:val="20"/>
          <w:szCs w:val="20"/>
          <w:lang w:val="en-US"/>
        </w:rPr>
      </w:pPr>
    </w:p>
    <w:p w14:paraId="77DB4FF8" w14:textId="77777777" w:rsidR="00A80909" w:rsidRDefault="00A80909" w:rsidP="007A612C">
      <w:pPr>
        <w:jc w:val="both"/>
        <w:rPr>
          <w:rFonts w:ascii="Helvetica" w:eastAsiaTheme="minorEastAsia" w:hAnsi="Helvetica"/>
          <w:sz w:val="20"/>
          <w:szCs w:val="20"/>
          <w:lang w:val="en-US"/>
        </w:rPr>
      </w:pPr>
    </w:p>
    <w:p w14:paraId="7F7333CB" w14:textId="19770214" w:rsidR="007A612C" w:rsidRPr="00F1641A" w:rsidRDefault="00F1641A" w:rsidP="007A612C">
      <w:pPr>
        <w:jc w:val="both"/>
        <w:rPr>
          <w:rFonts w:ascii="Helvetica" w:eastAsiaTheme="minorEastAsia" w:hAnsi="Helvetica"/>
          <w:b/>
          <w:bCs/>
          <w:sz w:val="20"/>
          <w:szCs w:val="20"/>
          <w:lang w:val="en-US"/>
        </w:rPr>
      </w:pPr>
      <w:r w:rsidRPr="00F1641A">
        <w:rPr>
          <w:rFonts w:ascii="Helvetica" w:eastAsiaTheme="minorEastAsia" w:hAnsi="Helvetica"/>
          <w:b/>
          <w:bCs/>
          <w:sz w:val="20"/>
          <w:szCs w:val="20"/>
          <w:lang w:val="en-US"/>
        </w:rPr>
        <w:t>Testing the significance of the events</w:t>
      </w:r>
    </w:p>
    <w:p w14:paraId="1F55C521" w14:textId="77777777" w:rsidR="00F1641A" w:rsidRDefault="00F1641A" w:rsidP="007A612C">
      <w:pPr>
        <w:jc w:val="both"/>
        <w:rPr>
          <w:rFonts w:ascii="Helvetica" w:eastAsiaTheme="minorEastAsia" w:hAnsi="Helvetica"/>
          <w:sz w:val="20"/>
          <w:szCs w:val="20"/>
          <w:lang w:val="en-US"/>
        </w:rPr>
      </w:pPr>
    </w:p>
    <w:p w14:paraId="15BA57E6" w14:textId="48BB64AD" w:rsidR="007957CD" w:rsidRDefault="00311051" w:rsidP="00620709">
      <w:pPr>
        <w:jc w:val="both"/>
        <w:rPr>
          <w:rFonts w:ascii="Helvetica" w:hAnsi="Helvetica"/>
          <w:sz w:val="20"/>
          <w:szCs w:val="20"/>
          <w:lang w:val="en-US"/>
        </w:rPr>
      </w:pPr>
      <w:r w:rsidRPr="00311051">
        <w:rPr>
          <w:rFonts w:ascii="Helvetica" w:hAnsi="Helvetica"/>
          <w:sz w:val="20"/>
          <w:szCs w:val="20"/>
          <w:lang w:val="en-US"/>
        </w:rPr>
        <w:t xml:space="preserve">One might test the significance of an event by averaging the abnormal performance for the sampling of securities around the event dates. If abnormal returns are not statistically significantly different from zero during the relevant testing period, one may conclude that the test did not provide evidence indicating the significance of the event. If either no abnormal performance is detected around the event </w:t>
      </w:r>
      <w:r w:rsidRPr="00311051">
        <w:rPr>
          <w:rFonts w:ascii="Helvetica" w:hAnsi="Helvetica"/>
          <w:sz w:val="20"/>
          <w:szCs w:val="20"/>
          <w:lang w:val="en-US"/>
        </w:rPr>
        <w:lastRenderedPageBreak/>
        <w:t>date or abnormal performance rapidly disappears, we have evidence of market efficiency with respect to that type of information.</w:t>
      </w:r>
    </w:p>
    <w:p w14:paraId="559CF91D" w14:textId="77777777" w:rsidR="00620709" w:rsidRDefault="00620709"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6302C6B7" w14:textId="7BDAA8D0" w:rsidR="00620709" w:rsidRPr="00620709" w:rsidRDefault="00620709" w:rsidP="001A0AEB">
      <w:pPr>
        <w:pStyle w:val="comp"/>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620709">
        <w:rPr>
          <w:rFonts w:ascii="Helvetica" w:eastAsiaTheme="minorHAnsi" w:hAnsi="Helvetica" w:cstheme="minorBidi"/>
          <w:b/>
          <w:bCs/>
          <w:kern w:val="2"/>
          <w:sz w:val="20"/>
          <w:szCs w:val="20"/>
          <w:lang w:val="en-US" w:eastAsia="en-US"/>
          <w14:ligatures w14:val="standardContextual"/>
        </w:rPr>
        <w:t>Examples of Events</w:t>
      </w:r>
    </w:p>
    <w:p w14:paraId="0DC0B2C8" w14:textId="77777777" w:rsidR="00620709" w:rsidRDefault="00620709"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9F29F78" w14:textId="7CB87ED1" w:rsidR="00620709" w:rsidRDefault="006F01C0"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Here are some examples of event studies that one can consider when doing up a project or analysis on event impact modelling.</w:t>
      </w:r>
    </w:p>
    <w:p w14:paraId="2F24DF2C" w14:textId="77777777" w:rsidR="006F01C0" w:rsidRDefault="006F01C0"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tbl>
      <w:tblPr>
        <w:tblStyle w:val="TableGrid"/>
        <w:tblW w:w="0" w:type="auto"/>
        <w:tblLook w:val="04A0" w:firstRow="1" w:lastRow="0" w:firstColumn="1" w:lastColumn="0" w:noHBand="0" w:noVBand="1"/>
      </w:tblPr>
      <w:tblGrid>
        <w:gridCol w:w="1963"/>
        <w:gridCol w:w="1576"/>
        <w:gridCol w:w="5477"/>
      </w:tblGrid>
      <w:tr w:rsidR="004666B2" w14:paraId="6291E4BF" w14:textId="77777777" w:rsidTr="00E52677">
        <w:tc>
          <w:tcPr>
            <w:tcW w:w="1963" w:type="dxa"/>
            <w:shd w:val="clear" w:color="auto" w:fill="002060"/>
          </w:tcPr>
          <w:p w14:paraId="6232D9DE" w14:textId="1E7290BE" w:rsidR="004666B2" w:rsidRDefault="004666B2"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Event Studies</w:t>
            </w:r>
          </w:p>
        </w:tc>
        <w:tc>
          <w:tcPr>
            <w:tcW w:w="1576" w:type="dxa"/>
            <w:shd w:val="clear" w:color="auto" w:fill="002060"/>
          </w:tcPr>
          <w:p w14:paraId="67738F79" w14:textId="18AA8224" w:rsidR="004666B2" w:rsidRDefault="004666B2"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Example of Event</w:t>
            </w:r>
          </w:p>
        </w:tc>
        <w:tc>
          <w:tcPr>
            <w:tcW w:w="5477" w:type="dxa"/>
            <w:shd w:val="clear" w:color="auto" w:fill="002060"/>
          </w:tcPr>
          <w:p w14:paraId="53DD0EE9" w14:textId="25FFF555" w:rsidR="004666B2" w:rsidRDefault="004666B2"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Key indicators or assets to monitor and test</w:t>
            </w:r>
          </w:p>
        </w:tc>
      </w:tr>
      <w:tr w:rsidR="004666B2" w14:paraId="5DC24BCD" w14:textId="77777777" w:rsidTr="00E52677">
        <w:tc>
          <w:tcPr>
            <w:tcW w:w="1963" w:type="dxa"/>
          </w:tcPr>
          <w:p w14:paraId="12016701" w14:textId="7684A140"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US Non-Farm Payroll (NFP)</w:t>
            </w:r>
            <w:r w:rsidRPr="008E2BE0">
              <w:rPr>
                <w:rFonts w:ascii="Helvetica" w:eastAsiaTheme="minorHAnsi" w:hAnsi="Helvetica" w:cstheme="minorBidi"/>
                <w:kern w:val="2"/>
                <w:sz w:val="18"/>
                <w:szCs w:val="18"/>
                <w:lang w:val="en-US" w:eastAsia="en-US"/>
                <w14:ligatures w14:val="standardContextual"/>
              </w:rPr>
              <w:t xml:space="preserve"> – Monthly Release</w:t>
            </w:r>
          </w:p>
        </w:tc>
        <w:tc>
          <w:tcPr>
            <w:tcW w:w="1576" w:type="dxa"/>
          </w:tcPr>
          <w:p w14:paraId="4EA0045E" w14:textId="602D211B" w:rsidR="004666B2" w:rsidRPr="008E2BE0" w:rsidRDefault="00C17F45"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NFP</w:t>
            </w:r>
          </w:p>
        </w:tc>
        <w:tc>
          <w:tcPr>
            <w:tcW w:w="5477" w:type="dxa"/>
          </w:tcPr>
          <w:p w14:paraId="3739AA18" w14:textId="57540DBE"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USD pairs (EUR/USD), US Treasury futures</w:t>
            </w:r>
          </w:p>
          <w:p w14:paraId="25F2A212" w14:textId="77777777"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18C5799A" w14:textId="77777777" w:rsidR="004666B2" w:rsidRPr="008E2BE0" w:rsidRDefault="004666B2" w:rsidP="004A4149">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Study the return distribution [-30, +30] minutes around release</w:t>
            </w:r>
          </w:p>
          <w:p w14:paraId="5AD94F41" w14:textId="0A5374CE" w:rsidR="004666B2" w:rsidRPr="008E2BE0" w:rsidRDefault="004666B2" w:rsidP="004A4149">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Volatility spikes vs normal days</w:t>
            </w:r>
          </w:p>
        </w:tc>
      </w:tr>
      <w:tr w:rsidR="004666B2" w14:paraId="7E1CF384" w14:textId="77777777" w:rsidTr="00E52677">
        <w:tc>
          <w:tcPr>
            <w:tcW w:w="1963" w:type="dxa"/>
          </w:tcPr>
          <w:p w14:paraId="01E2D37D" w14:textId="377A56B9"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CPI Inflation Print</w:t>
            </w:r>
          </w:p>
        </w:tc>
        <w:tc>
          <w:tcPr>
            <w:tcW w:w="1576" w:type="dxa"/>
          </w:tcPr>
          <w:p w14:paraId="51A1A954" w14:textId="10873509" w:rsidR="004666B2" w:rsidRPr="008E2BE0" w:rsidRDefault="00550677"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CPI</w:t>
            </w:r>
          </w:p>
        </w:tc>
        <w:tc>
          <w:tcPr>
            <w:tcW w:w="5477" w:type="dxa"/>
          </w:tcPr>
          <w:p w14:paraId="276AB973" w14:textId="6BD47BE3"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S&amp;P 500 futures</w:t>
            </w:r>
          </w:p>
          <w:p w14:paraId="2EE9D415" w14:textId="77777777"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24A22F0F" w14:textId="77777777" w:rsidR="004666B2" w:rsidRPr="008E2BE0" w:rsidRDefault="004666B2" w:rsidP="00756548">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Pre / Post event drifts</w:t>
            </w:r>
          </w:p>
          <w:p w14:paraId="75D817FB" w14:textId="6CA07A83" w:rsidR="004666B2" w:rsidRPr="008E2BE0" w:rsidRDefault="004666B2" w:rsidP="00756548">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Intraday drawdown risks</w:t>
            </w:r>
          </w:p>
        </w:tc>
      </w:tr>
      <w:tr w:rsidR="004666B2" w14:paraId="463182C4" w14:textId="77777777" w:rsidTr="00E52677">
        <w:tc>
          <w:tcPr>
            <w:tcW w:w="1963" w:type="dxa"/>
          </w:tcPr>
          <w:p w14:paraId="37B6FEF9" w14:textId="21E060A5"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FOMC Rate Decisions</w:t>
            </w:r>
          </w:p>
        </w:tc>
        <w:tc>
          <w:tcPr>
            <w:tcW w:w="1576" w:type="dxa"/>
          </w:tcPr>
          <w:p w14:paraId="4112A818" w14:textId="2B4993EF" w:rsidR="004666B2" w:rsidRPr="008E2BE0" w:rsidRDefault="00550677" w:rsidP="00911F95">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Raise or Lower Interest Rates</w:t>
            </w:r>
          </w:p>
        </w:tc>
        <w:tc>
          <w:tcPr>
            <w:tcW w:w="5477" w:type="dxa"/>
          </w:tcPr>
          <w:p w14:paraId="0FDEF54E" w14:textId="41E9CAB7" w:rsidR="004666B2" w:rsidRPr="008E2BE0" w:rsidRDefault="004666B2" w:rsidP="00911F95">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S&amp;P 500</w:t>
            </w:r>
            <w:r w:rsidRPr="008E2BE0">
              <w:rPr>
                <w:rFonts w:ascii="Helvetica" w:eastAsiaTheme="minorHAnsi" w:hAnsi="Helvetica" w:cstheme="minorBidi"/>
                <w:kern w:val="2"/>
                <w:sz w:val="18"/>
                <w:szCs w:val="18"/>
                <w:lang w:val="en-US" w:eastAsia="en-US"/>
                <w14:ligatures w14:val="standardContextual"/>
              </w:rPr>
              <w:t>, USD, 2Y/10Y Treasuries</w:t>
            </w:r>
          </w:p>
          <w:p w14:paraId="0B4EEB1D" w14:textId="77777777" w:rsidR="004666B2" w:rsidRPr="008E2BE0" w:rsidRDefault="004666B2" w:rsidP="00911F95">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74C93DBD" w14:textId="72FDD586" w:rsidR="004666B2" w:rsidRPr="008E2BE0" w:rsidRDefault="004666B2" w:rsidP="00A51591">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Study the variations between rate hike and pause (denote the regions by different </w:t>
            </w:r>
            <w:proofErr w:type="spellStart"/>
            <w:r w:rsidRPr="008E2BE0">
              <w:rPr>
                <w:rFonts w:ascii="Helvetica" w:eastAsiaTheme="minorHAnsi" w:hAnsi="Helvetica" w:cstheme="minorBidi"/>
                <w:kern w:val="2"/>
                <w:sz w:val="18"/>
                <w:szCs w:val="18"/>
                <w:lang w:val="en-US" w:eastAsia="en-US"/>
                <w14:ligatures w14:val="standardContextual"/>
              </w:rPr>
              <w:t>colour</w:t>
            </w:r>
            <w:proofErr w:type="spellEnd"/>
            <w:r w:rsidRPr="008E2BE0">
              <w:rPr>
                <w:rFonts w:ascii="Helvetica" w:eastAsiaTheme="minorHAnsi" w:hAnsi="Helvetica" w:cstheme="minorBidi"/>
                <w:kern w:val="2"/>
                <w:sz w:val="18"/>
                <w:szCs w:val="18"/>
                <w:lang w:val="en-US" w:eastAsia="en-US"/>
                <w14:ligatures w14:val="standardContextual"/>
              </w:rPr>
              <w:t>)</w:t>
            </w:r>
          </w:p>
          <w:p w14:paraId="75BE9EA0" w14:textId="0BA0DFBF" w:rsidR="004666B2" w:rsidRPr="008E2BE0" w:rsidRDefault="004666B2" w:rsidP="00A51591">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Dot plot hawkishness shift</w:t>
            </w:r>
          </w:p>
          <w:p w14:paraId="461CF0FC" w14:textId="7764FB46" w:rsidR="004666B2" w:rsidRPr="008E2BE0" w:rsidRDefault="004666B2" w:rsidP="00775D72">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454A657C" w14:textId="1628DBC2" w:rsidR="004666B2" w:rsidRPr="008E2BE0" w:rsidRDefault="004666B2" w:rsidP="00775D72">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r w:rsidRPr="008E2BE0">
              <w:rPr>
                <w:rFonts w:ascii="Helvetica" w:eastAsiaTheme="minorHAnsi" w:hAnsi="Helvetica" w:cstheme="minorBidi"/>
                <w:kern w:val="2"/>
                <w:sz w:val="18"/>
                <w:szCs w:val="18"/>
                <w:lang w:val="en-US" w:eastAsia="en-US"/>
                <w14:ligatures w14:val="standardContextual"/>
              </w:rPr>
              <w:t>:</w:t>
            </w:r>
          </w:p>
          <w:p w14:paraId="4B2163E5" w14:textId="77777777" w:rsidR="004666B2" w:rsidRPr="008E2BE0" w:rsidRDefault="004666B2" w:rsidP="00962676">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Average return 1–3 days post-meeting</w:t>
            </w:r>
          </w:p>
          <w:p w14:paraId="5FB19677" w14:textId="77777777" w:rsidR="004666B2" w:rsidRPr="008E2BE0" w:rsidRDefault="004666B2" w:rsidP="00962676">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Yield curve steepening/flattening</w:t>
            </w:r>
          </w:p>
          <w:p w14:paraId="02605F37" w14:textId="699DA436" w:rsidR="004666B2" w:rsidRPr="008E2BE0" w:rsidRDefault="004666B2" w:rsidP="00962676">
            <w:pPr>
              <w:pStyle w:val="comp"/>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Correlation regime shifts</w:t>
            </w:r>
          </w:p>
        </w:tc>
      </w:tr>
      <w:tr w:rsidR="004666B2" w14:paraId="49F138FC" w14:textId="77777777" w:rsidTr="00E52677">
        <w:tc>
          <w:tcPr>
            <w:tcW w:w="1963" w:type="dxa"/>
          </w:tcPr>
          <w:p w14:paraId="74728579" w14:textId="5C68CCB7"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Post Earnings Announcement Drift (PEAD)</w:t>
            </w:r>
          </w:p>
        </w:tc>
        <w:tc>
          <w:tcPr>
            <w:tcW w:w="1576" w:type="dxa"/>
          </w:tcPr>
          <w:p w14:paraId="181A0196" w14:textId="4FE1AABA" w:rsidR="004666B2" w:rsidRPr="008E2BE0" w:rsidRDefault="00E52677"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Corporate Earnings Call or release of key earnings metrics like Revenue and EPS</w:t>
            </w:r>
          </w:p>
        </w:tc>
        <w:tc>
          <w:tcPr>
            <w:tcW w:w="5477" w:type="dxa"/>
          </w:tcPr>
          <w:p w14:paraId="3FD2C00C" w14:textId="03C783DA"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Individual Stocks (any pick will do, just be sure to have sufficient data on their earnings announcement for better analysis)</w:t>
            </w:r>
          </w:p>
          <w:p w14:paraId="35358C25" w14:textId="77777777"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401D9438" w14:textId="047A2C9D"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study and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r w:rsidRPr="008E2BE0">
              <w:rPr>
                <w:rFonts w:ascii="Helvetica" w:eastAsiaTheme="minorHAnsi" w:hAnsi="Helvetica" w:cstheme="minorBidi"/>
                <w:kern w:val="2"/>
                <w:sz w:val="18"/>
                <w:szCs w:val="18"/>
                <w:lang w:val="en-US" w:eastAsia="en-US"/>
                <w14:ligatures w14:val="standardContextual"/>
              </w:rPr>
              <w:t>:</w:t>
            </w:r>
          </w:p>
          <w:p w14:paraId="2477B082" w14:textId="77777777" w:rsidR="004666B2" w:rsidRPr="008E2BE0" w:rsidRDefault="004666B2" w:rsidP="00916560">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Abnormal returns vs factor model (CAPM / Fama-French)</w:t>
            </w:r>
          </w:p>
          <w:p w14:paraId="47CBC4BA" w14:textId="77777777" w:rsidR="004666B2" w:rsidRPr="008E2BE0" w:rsidRDefault="004666B2" w:rsidP="00916560">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Drift over 5–60 trading days</w:t>
            </w:r>
          </w:p>
          <w:p w14:paraId="687775DB" w14:textId="3AECB75F" w:rsidR="004666B2" w:rsidRPr="008E2BE0" w:rsidRDefault="004666B2" w:rsidP="00F12CD4">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Volume and volatility normalization</w:t>
            </w:r>
          </w:p>
        </w:tc>
      </w:tr>
      <w:tr w:rsidR="004666B2" w14:paraId="2BBEC768" w14:textId="77777777" w:rsidTr="00E52677">
        <w:tc>
          <w:tcPr>
            <w:tcW w:w="1963" w:type="dxa"/>
          </w:tcPr>
          <w:p w14:paraId="265EF0B5" w14:textId="3CA32FB8"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Corporate Action and News Events</w:t>
            </w:r>
          </w:p>
        </w:tc>
        <w:tc>
          <w:tcPr>
            <w:tcW w:w="1576" w:type="dxa"/>
          </w:tcPr>
          <w:p w14:paraId="11A6318A" w14:textId="7282E901" w:rsidR="004666B2" w:rsidRPr="008E2BE0" w:rsidRDefault="009513D6"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Mergers and Acquisition</w:t>
            </w:r>
          </w:p>
        </w:tc>
        <w:tc>
          <w:tcPr>
            <w:tcW w:w="5477" w:type="dxa"/>
          </w:tcPr>
          <w:p w14:paraId="7D3AC5B4" w14:textId="38BBA498"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Target and Acquirer Stocks</w:t>
            </w:r>
          </w:p>
          <w:p w14:paraId="182E0F92" w14:textId="77777777" w:rsidR="004666B2" w:rsidRPr="008E2BE0" w:rsidRDefault="004666B2" w:rsidP="00FC15E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46D10EEF" w14:textId="5E0E2DBE" w:rsidR="004666B2" w:rsidRPr="008E2BE0" w:rsidRDefault="004666B2" w:rsidP="00FC15E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study and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r w:rsidRPr="008E2BE0">
              <w:rPr>
                <w:rFonts w:ascii="Helvetica" w:eastAsiaTheme="minorHAnsi" w:hAnsi="Helvetica" w:cstheme="minorBidi"/>
                <w:kern w:val="2"/>
                <w:sz w:val="18"/>
                <w:szCs w:val="18"/>
                <w:lang w:val="en-US" w:eastAsia="en-US"/>
                <w14:ligatures w14:val="standardContextual"/>
              </w:rPr>
              <w:t>:</w:t>
            </w:r>
          </w:p>
          <w:p w14:paraId="65B95358" w14:textId="77777777" w:rsidR="004666B2" w:rsidRPr="008E2BE0" w:rsidRDefault="004666B2" w:rsidP="009651F4">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Immediate price jump</w:t>
            </w:r>
          </w:p>
          <w:p w14:paraId="1DE1D2EE" w14:textId="77777777" w:rsidR="004666B2" w:rsidRPr="008E2BE0" w:rsidRDefault="004666B2" w:rsidP="009651F4">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Volatility decay</w:t>
            </w:r>
          </w:p>
          <w:p w14:paraId="2345118B" w14:textId="2CE74707" w:rsidR="004666B2" w:rsidRPr="008E2BE0" w:rsidRDefault="004666B2" w:rsidP="00F12CD4">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Reversal probability</w:t>
            </w:r>
          </w:p>
        </w:tc>
      </w:tr>
      <w:tr w:rsidR="004666B2" w14:paraId="2ED95E58" w14:textId="77777777" w:rsidTr="00E52677">
        <w:tc>
          <w:tcPr>
            <w:tcW w:w="1963" w:type="dxa"/>
          </w:tcPr>
          <w:p w14:paraId="50F4A650" w14:textId="074AC413"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Geopolitical and Shock Events</w:t>
            </w:r>
          </w:p>
        </w:tc>
        <w:tc>
          <w:tcPr>
            <w:tcW w:w="1576" w:type="dxa"/>
          </w:tcPr>
          <w:p w14:paraId="08C3D7CB" w14:textId="5A50D402" w:rsidR="004666B2" w:rsidRPr="008E2BE0" w:rsidRDefault="00FF2244"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Brexit Referendum, 07-08 Global Financial Crisis, Covid, Collapse of Regional Banks</w:t>
            </w:r>
          </w:p>
        </w:tc>
        <w:tc>
          <w:tcPr>
            <w:tcW w:w="5477" w:type="dxa"/>
          </w:tcPr>
          <w:p w14:paraId="09867198" w14:textId="2FC73833"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GBP, FTSE, EU equities</w:t>
            </w:r>
            <w:r w:rsidRPr="008E2BE0">
              <w:rPr>
                <w:rFonts w:ascii="Helvetica" w:eastAsiaTheme="minorHAnsi" w:hAnsi="Helvetica" w:cstheme="minorBidi"/>
                <w:kern w:val="2"/>
                <w:sz w:val="18"/>
                <w:szCs w:val="18"/>
                <w:lang w:val="en-US" w:eastAsia="en-US"/>
                <w14:ligatures w14:val="standardContextual"/>
              </w:rPr>
              <w:t>, Global Equities, Financial Stocks</w:t>
            </w:r>
          </w:p>
          <w:p w14:paraId="11312B1B" w14:textId="77777777" w:rsidR="004666B2" w:rsidRPr="008E2BE0" w:rsidRDefault="004666B2" w:rsidP="00B562B1">
            <w:pPr>
              <w:pStyle w:val="NormalWeb"/>
              <w:spacing w:before="0" w:beforeAutospacing="0" w:after="0" w:afterAutospacing="0"/>
              <w:rPr>
                <w:rFonts w:ascii="Helvetica" w:eastAsiaTheme="minorHAnsi" w:hAnsi="Helvetica" w:cstheme="minorBidi"/>
                <w:b/>
                <w:bCs/>
                <w:kern w:val="2"/>
                <w:sz w:val="18"/>
                <w:szCs w:val="18"/>
                <w:lang w:val="en-US" w:eastAsia="en-US"/>
                <w14:ligatures w14:val="standardContextual"/>
              </w:rPr>
            </w:pPr>
          </w:p>
          <w:p w14:paraId="467BA554" w14:textId="06207481" w:rsidR="004666B2" w:rsidRPr="008E2BE0" w:rsidRDefault="004666B2" w:rsidP="00D078DF">
            <w:pPr>
              <w:pStyle w:val="NormalWeb"/>
              <w:spacing w:before="0" w:beforeAutospacing="0" w:after="0" w:afterAutospacing="0"/>
              <w:rPr>
                <w:rFonts w:ascii="Helvetica" w:eastAsiaTheme="minorHAnsi" w:hAnsi="Helvetica" w:cstheme="minorBidi"/>
                <w:b/>
                <w:bCs/>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study and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p>
          <w:p w14:paraId="4BEEAC60" w14:textId="77777777" w:rsidR="004666B2" w:rsidRPr="008E2BE0" w:rsidRDefault="004666B2" w:rsidP="00DB628A">
            <w:pPr>
              <w:pStyle w:val="NormalWeb"/>
              <w:numPr>
                <w:ilvl w:val="0"/>
                <w:numId w:val="20"/>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Scenario-based P&amp;L under shock assumptions</w:t>
            </w:r>
          </w:p>
          <w:p w14:paraId="549D3A7B" w14:textId="096F77EF" w:rsidR="004666B2" w:rsidRPr="008E2BE0" w:rsidRDefault="004666B2" w:rsidP="00F12CD4">
            <w:pPr>
              <w:pStyle w:val="NormalWeb"/>
              <w:numPr>
                <w:ilvl w:val="0"/>
                <w:numId w:val="20"/>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Cross-asset contagion mapping</w:t>
            </w:r>
          </w:p>
        </w:tc>
      </w:tr>
      <w:tr w:rsidR="004666B2" w14:paraId="3EE034C8" w14:textId="77777777" w:rsidTr="00E52677">
        <w:tc>
          <w:tcPr>
            <w:tcW w:w="1963" w:type="dxa"/>
          </w:tcPr>
          <w:p w14:paraId="715CC434" w14:textId="013EB592"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Volatility Event (</w:t>
            </w:r>
            <w:proofErr w:type="spellStart"/>
            <w:r w:rsidRPr="008E2BE0">
              <w:rPr>
                <w:rFonts w:ascii="Helvetica" w:eastAsiaTheme="minorHAnsi" w:hAnsi="Helvetica" w:cstheme="minorBidi"/>
                <w:kern w:val="2"/>
                <w:sz w:val="18"/>
                <w:szCs w:val="18"/>
                <w:lang w:val="en-US" w:eastAsia="en-US"/>
                <w14:ligatures w14:val="standardContextual"/>
              </w:rPr>
              <w:t>E.g</w:t>
            </w:r>
            <w:proofErr w:type="spellEnd"/>
            <w:r w:rsidRPr="008E2BE0">
              <w:rPr>
                <w:rFonts w:ascii="Helvetica" w:eastAsiaTheme="minorHAnsi" w:hAnsi="Helvetica" w:cstheme="minorBidi"/>
                <w:kern w:val="2"/>
                <w:sz w:val="18"/>
                <w:szCs w:val="18"/>
                <w:lang w:val="en-US" w:eastAsia="en-US"/>
                <w14:ligatures w14:val="standardContextual"/>
              </w:rPr>
              <w:t xml:space="preserve"> VIX Spike Events)</w:t>
            </w:r>
          </w:p>
        </w:tc>
        <w:tc>
          <w:tcPr>
            <w:tcW w:w="1576" w:type="dxa"/>
          </w:tcPr>
          <w:p w14:paraId="42371E9A" w14:textId="48040317" w:rsidR="004666B2" w:rsidRPr="008E2BE0" w:rsidRDefault="008518AB"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VIX</w:t>
            </w:r>
            <w:r w:rsidR="004148B1">
              <w:rPr>
                <w:rFonts w:ascii="Helvetica" w:eastAsiaTheme="minorHAnsi" w:hAnsi="Helvetica" w:cstheme="minorBidi"/>
                <w:kern w:val="2"/>
                <w:sz w:val="18"/>
                <w:szCs w:val="18"/>
                <w:lang w:val="en-US" w:eastAsia="en-US"/>
                <w14:ligatures w14:val="standardContextual"/>
              </w:rPr>
              <w:t xml:space="preserve"> &gt;</w:t>
            </w:r>
            <w:r w:rsidRPr="008E2BE0">
              <w:rPr>
                <w:rFonts w:ascii="Helvetica" w:eastAsiaTheme="minorHAnsi" w:hAnsi="Helvetica" w:cstheme="minorBidi"/>
                <w:kern w:val="2"/>
                <w:sz w:val="18"/>
                <w:szCs w:val="18"/>
                <w:lang w:val="en-US" w:eastAsia="en-US"/>
                <w14:ligatures w14:val="standardContextual"/>
              </w:rPr>
              <w:t xml:space="preserve"> 95% percentile</w:t>
            </w:r>
          </w:p>
        </w:tc>
        <w:tc>
          <w:tcPr>
            <w:tcW w:w="5477" w:type="dxa"/>
          </w:tcPr>
          <w:p w14:paraId="79999575" w14:textId="5C3A435D"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Equities, Options Strategies</w:t>
            </w:r>
          </w:p>
          <w:p w14:paraId="025FF507" w14:textId="77777777"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7B77CB4A" w14:textId="77777777" w:rsidR="004666B2" w:rsidRPr="008E2BE0" w:rsidRDefault="004666B2" w:rsidP="00B828B0">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study and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r w:rsidRPr="008E2BE0">
              <w:rPr>
                <w:rFonts w:ascii="Helvetica" w:eastAsiaTheme="minorHAnsi" w:hAnsi="Helvetica" w:cstheme="minorBidi"/>
                <w:kern w:val="2"/>
                <w:sz w:val="18"/>
                <w:szCs w:val="18"/>
                <w:lang w:val="en-US" w:eastAsia="en-US"/>
                <w14:ligatures w14:val="standardContextual"/>
              </w:rPr>
              <w:t>:</w:t>
            </w:r>
          </w:p>
          <w:p w14:paraId="3DBED7E2" w14:textId="7F7C5BB8" w:rsidR="004666B2" w:rsidRPr="008E2BE0" w:rsidRDefault="004666B2" w:rsidP="00B828B0">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Mean reversion speed</w:t>
            </w:r>
          </w:p>
          <w:p w14:paraId="4D59221F" w14:textId="6128ADED" w:rsidR="004666B2" w:rsidRPr="008E2BE0" w:rsidRDefault="004666B2" w:rsidP="00B828B0">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Equity Returns Following Spike</w:t>
            </w:r>
          </w:p>
          <w:p w14:paraId="0EDFE851" w14:textId="070E9481" w:rsidR="004666B2" w:rsidRPr="008E2BE0" w:rsidRDefault="004666B2" w:rsidP="00B562B1">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Option Implied vs realized volatility gap</w:t>
            </w:r>
          </w:p>
        </w:tc>
      </w:tr>
      <w:tr w:rsidR="004666B2" w14:paraId="3822C952" w14:textId="77777777" w:rsidTr="00E52677">
        <w:tc>
          <w:tcPr>
            <w:tcW w:w="1963" w:type="dxa"/>
          </w:tcPr>
          <w:p w14:paraId="3A55AFD4" w14:textId="288D5950"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Technical Event</w:t>
            </w:r>
          </w:p>
        </w:tc>
        <w:tc>
          <w:tcPr>
            <w:tcW w:w="1576" w:type="dxa"/>
          </w:tcPr>
          <w:p w14:paraId="5C261F73" w14:textId="4013E42E" w:rsidR="004666B2" w:rsidRPr="008E2BE0" w:rsidRDefault="00AA23BA"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Pr>
                <w:rFonts w:ascii="Helvetica" w:eastAsiaTheme="minorHAnsi" w:hAnsi="Helvetica" w:cstheme="minorBidi"/>
                <w:kern w:val="2"/>
                <w:sz w:val="18"/>
                <w:szCs w:val="18"/>
                <w:lang w:val="en-US" w:eastAsia="en-US"/>
                <w14:ligatures w14:val="standardContextual"/>
              </w:rPr>
              <w:t>I</w:t>
            </w:r>
            <w:r w:rsidR="004E3E0A" w:rsidRPr="008E2BE0">
              <w:rPr>
                <w:rFonts w:ascii="Helvetica" w:eastAsiaTheme="minorHAnsi" w:hAnsi="Helvetica" w:cstheme="minorBidi"/>
                <w:kern w:val="2"/>
                <w:sz w:val="18"/>
                <w:szCs w:val="18"/>
                <w:lang w:val="en-US" w:eastAsia="en-US"/>
                <w14:ligatures w14:val="standardContextual"/>
              </w:rPr>
              <w:t>ndex Rebalancing</w:t>
            </w:r>
          </w:p>
        </w:tc>
        <w:tc>
          <w:tcPr>
            <w:tcW w:w="5477" w:type="dxa"/>
          </w:tcPr>
          <w:p w14:paraId="586382FC" w14:textId="579DCF4A"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Impacted stocks (added / delisted)</w:t>
            </w:r>
          </w:p>
          <w:p w14:paraId="5B9CDA7D" w14:textId="77777777"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11787B17" w14:textId="77777777" w:rsidR="004666B2" w:rsidRPr="008E2BE0" w:rsidRDefault="004666B2" w:rsidP="00F13ACD">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study and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r w:rsidRPr="008E2BE0">
              <w:rPr>
                <w:rFonts w:ascii="Helvetica" w:eastAsiaTheme="minorHAnsi" w:hAnsi="Helvetica" w:cstheme="minorBidi"/>
                <w:kern w:val="2"/>
                <w:sz w:val="18"/>
                <w:szCs w:val="18"/>
                <w:lang w:val="en-US" w:eastAsia="en-US"/>
                <w14:ligatures w14:val="standardContextual"/>
              </w:rPr>
              <w:t>:</w:t>
            </w:r>
          </w:p>
          <w:p w14:paraId="2DB4F06E" w14:textId="526A82CC" w:rsidR="004666B2" w:rsidRPr="008E2BE0" w:rsidRDefault="004666B2" w:rsidP="00A502A0">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Price Pressure Pre and Post inclusion</w:t>
            </w:r>
          </w:p>
          <w:p w14:paraId="4330B8E7" w14:textId="67A0EEBA" w:rsidR="004666B2" w:rsidRPr="008E2BE0" w:rsidRDefault="004666B2" w:rsidP="00A502A0">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Volume surges</w:t>
            </w:r>
          </w:p>
          <w:p w14:paraId="04472353" w14:textId="00196CCE" w:rsidR="004666B2" w:rsidRPr="008E2BE0" w:rsidRDefault="004666B2" w:rsidP="00B562B1">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Reversal timings</w:t>
            </w:r>
          </w:p>
        </w:tc>
      </w:tr>
      <w:tr w:rsidR="004666B2" w14:paraId="6E7FE9E7" w14:textId="77777777" w:rsidTr="00E52677">
        <w:tc>
          <w:tcPr>
            <w:tcW w:w="1963" w:type="dxa"/>
          </w:tcPr>
          <w:p w14:paraId="29922209" w14:textId="44D5A951" w:rsidR="004666B2" w:rsidRPr="008E2BE0" w:rsidRDefault="004666B2" w:rsidP="00F12CD4">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lastRenderedPageBreak/>
              <w:t>Credit and Risk Events</w:t>
            </w:r>
          </w:p>
        </w:tc>
        <w:tc>
          <w:tcPr>
            <w:tcW w:w="1576" w:type="dxa"/>
          </w:tcPr>
          <w:p w14:paraId="0E7F9A5D" w14:textId="02912B6E" w:rsidR="004666B2" w:rsidRPr="008E2BE0" w:rsidRDefault="00F169C4"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Credit Rating downgrades</w:t>
            </w:r>
          </w:p>
        </w:tc>
        <w:tc>
          <w:tcPr>
            <w:tcW w:w="5477" w:type="dxa"/>
          </w:tcPr>
          <w:p w14:paraId="60885FFB" w14:textId="3D916940"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Corporate bonds and Equities</w:t>
            </w:r>
          </w:p>
          <w:p w14:paraId="5844BBAE" w14:textId="77777777" w:rsidR="004666B2" w:rsidRPr="008E2BE0" w:rsidRDefault="004666B2" w:rsidP="00B562B1">
            <w:pPr>
              <w:pStyle w:val="NormalWeb"/>
              <w:spacing w:before="0" w:beforeAutospacing="0" w:after="0" w:afterAutospacing="0"/>
              <w:rPr>
                <w:rFonts w:ascii="Helvetica" w:eastAsiaTheme="minorHAnsi" w:hAnsi="Helvetica" w:cstheme="minorBidi"/>
                <w:kern w:val="2"/>
                <w:sz w:val="18"/>
                <w:szCs w:val="18"/>
                <w:lang w:val="en-US" w:eastAsia="en-US"/>
                <w14:ligatures w14:val="standardContextual"/>
              </w:rPr>
            </w:pPr>
          </w:p>
          <w:p w14:paraId="1FE14EE6" w14:textId="77777777" w:rsidR="004666B2" w:rsidRPr="008E2BE0" w:rsidRDefault="004666B2" w:rsidP="00265F2A">
            <w:pPr>
              <w:pStyle w:val="comp"/>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 xml:space="preserve">One can study and </w:t>
            </w:r>
            <w:proofErr w:type="spellStart"/>
            <w:r w:rsidRPr="008E2BE0">
              <w:rPr>
                <w:rFonts w:ascii="Helvetica" w:eastAsiaTheme="minorHAnsi" w:hAnsi="Helvetica" w:cstheme="minorBidi"/>
                <w:kern w:val="2"/>
                <w:sz w:val="18"/>
                <w:szCs w:val="18"/>
                <w:lang w:val="en-US" w:eastAsia="en-US"/>
                <w14:ligatures w14:val="standardContextual"/>
              </w:rPr>
              <w:t>analyse</w:t>
            </w:r>
            <w:proofErr w:type="spellEnd"/>
            <w:r w:rsidRPr="008E2BE0">
              <w:rPr>
                <w:rFonts w:ascii="Helvetica" w:eastAsiaTheme="minorHAnsi" w:hAnsi="Helvetica" w:cstheme="minorBidi"/>
                <w:kern w:val="2"/>
                <w:sz w:val="18"/>
                <w:szCs w:val="18"/>
                <w:lang w:val="en-US" w:eastAsia="en-US"/>
                <w14:ligatures w14:val="standardContextual"/>
              </w:rPr>
              <w:t>:</w:t>
            </w:r>
          </w:p>
          <w:p w14:paraId="4E88AA53" w14:textId="2D76DCAE" w:rsidR="004666B2" w:rsidRPr="008E2BE0" w:rsidRDefault="004666B2" w:rsidP="009458C2">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Spread widening</w:t>
            </w:r>
          </w:p>
          <w:p w14:paraId="55DD7C5E" w14:textId="3F5E071A" w:rsidR="004666B2" w:rsidRPr="008E2BE0" w:rsidRDefault="004666B2" w:rsidP="009458C2">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Equity underperformance horizon</w:t>
            </w:r>
          </w:p>
          <w:p w14:paraId="6630858A" w14:textId="4E80C086" w:rsidR="004666B2" w:rsidRPr="008E2BE0" w:rsidRDefault="004666B2" w:rsidP="00B562B1">
            <w:pPr>
              <w:pStyle w:val="NormalWeb"/>
              <w:numPr>
                <w:ilvl w:val="0"/>
                <w:numId w:val="9"/>
              </w:numPr>
              <w:spacing w:before="0" w:beforeAutospacing="0" w:after="0" w:afterAutospacing="0"/>
              <w:rPr>
                <w:rFonts w:ascii="Helvetica" w:eastAsiaTheme="minorHAnsi" w:hAnsi="Helvetica" w:cstheme="minorBidi"/>
                <w:kern w:val="2"/>
                <w:sz w:val="18"/>
                <w:szCs w:val="18"/>
                <w:lang w:val="en-US" w:eastAsia="en-US"/>
                <w14:ligatures w14:val="standardContextual"/>
              </w:rPr>
            </w:pPr>
            <w:r w:rsidRPr="008E2BE0">
              <w:rPr>
                <w:rFonts w:ascii="Helvetica" w:eastAsiaTheme="minorHAnsi" w:hAnsi="Helvetica" w:cstheme="minorBidi"/>
                <w:kern w:val="2"/>
                <w:sz w:val="18"/>
                <w:szCs w:val="18"/>
                <w:lang w:val="en-US" w:eastAsia="en-US"/>
                <w14:ligatures w14:val="standardContextual"/>
              </w:rPr>
              <w:t>Liquidity deterioration</w:t>
            </w:r>
          </w:p>
        </w:tc>
      </w:tr>
    </w:tbl>
    <w:p w14:paraId="299DDE65" w14:textId="77777777" w:rsidR="00342889" w:rsidRDefault="00342889"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2404A1E" w14:textId="77777777" w:rsidR="00342889" w:rsidRDefault="00342889"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7BFC034C" w14:textId="6FC66769" w:rsidR="000104E1" w:rsidRPr="00253109" w:rsidRDefault="003F2A2C" w:rsidP="001A0AEB">
      <w:pPr>
        <w:pStyle w:val="comp"/>
        <w:spacing w:before="0" w:beforeAutospacing="0" w:after="0" w:afterAutospacing="0"/>
        <w:jc w:val="both"/>
        <w:rPr>
          <w:rFonts w:ascii="Helvetica" w:eastAsiaTheme="minorHAnsi" w:hAnsi="Helvetica" w:cstheme="minorBidi"/>
          <w:b/>
          <w:bCs/>
          <w:kern w:val="2"/>
          <w:sz w:val="20"/>
          <w:szCs w:val="20"/>
          <w:lang w:val="en-US" w:eastAsia="en-US"/>
          <w14:ligatures w14:val="standardContextual"/>
        </w:rPr>
      </w:pPr>
      <w:r w:rsidRPr="00253109">
        <w:rPr>
          <w:rFonts w:ascii="Helvetica" w:eastAsiaTheme="minorHAnsi" w:hAnsi="Helvetica" w:cstheme="minorBidi"/>
          <w:b/>
          <w:bCs/>
          <w:kern w:val="2"/>
          <w:sz w:val="20"/>
          <w:szCs w:val="20"/>
          <w:lang w:val="en-US" w:eastAsia="en-US"/>
          <w14:ligatures w14:val="standardContextual"/>
        </w:rPr>
        <w:t>Dataset</w:t>
      </w:r>
    </w:p>
    <w:p w14:paraId="4C3EEA5B" w14:textId="77777777" w:rsidR="003F2A2C" w:rsidRDefault="003F2A2C"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4B468DBB" w14:textId="77B30645" w:rsidR="003F2A2C" w:rsidRDefault="00EE54CA"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We can use </w:t>
      </w:r>
      <w:proofErr w:type="spellStart"/>
      <w:r>
        <w:rPr>
          <w:rFonts w:ascii="Helvetica" w:eastAsiaTheme="minorHAnsi" w:hAnsi="Helvetica" w:cstheme="minorBidi"/>
          <w:kern w:val="2"/>
          <w:sz w:val="20"/>
          <w:szCs w:val="20"/>
          <w:lang w:val="en-US" w:eastAsia="en-US"/>
          <w14:ligatures w14:val="standardContextual"/>
        </w:rPr>
        <w:t>YFinance</w:t>
      </w:r>
      <w:proofErr w:type="spellEnd"/>
      <w:r>
        <w:rPr>
          <w:rFonts w:ascii="Helvetica" w:eastAsiaTheme="minorHAnsi" w:hAnsi="Helvetica" w:cstheme="minorBidi"/>
          <w:kern w:val="2"/>
          <w:sz w:val="20"/>
          <w:szCs w:val="20"/>
          <w:lang w:val="en-US" w:eastAsia="en-US"/>
          <w14:ligatures w14:val="standardContextual"/>
        </w:rPr>
        <w:t xml:space="preserve"> for </w:t>
      </w:r>
      <w:r w:rsidR="006C5079">
        <w:rPr>
          <w:rFonts w:ascii="Helvetica" w:eastAsiaTheme="minorHAnsi" w:hAnsi="Helvetica" w:cstheme="minorBidi"/>
          <w:kern w:val="2"/>
          <w:sz w:val="20"/>
          <w:szCs w:val="20"/>
          <w:lang w:val="en-US" w:eastAsia="en-US"/>
          <w14:ligatures w14:val="standardContextual"/>
        </w:rPr>
        <w:t>basic equity, ETFs and indices prices</w:t>
      </w:r>
      <w:r w:rsidR="00547F75">
        <w:rPr>
          <w:rFonts w:ascii="Helvetica" w:eastAsiaTheme="minorHAnsi" w:hAnsi="Helvetica" w:cstheme="minorBidi"/>
          <w:kern w:val="2"/>
          <w:sz w:val="20"/>
          <w:szCs w:val="20"/>
          <w:lang w:val="en-US" w:eastAsia="en-US"/>
          <w14:ligatures w14:val="standardContextual"/>
        </w:rPr>
        <w:t>, including information related to corporate actions (</w:t>
      </w:r>
      <w:proofErr w:type="spellStart"/>
      <w:r w:rsidR="00547F75">
        <w:rPr>
          <w:rFonts w:ascii="Helvetica" w:eastAsiaTheme="minorHAnsi" w:hAnsi="Helvetica" w:cstheme="minorBidi"/>
          <w:kern w:val="2"/>
          <w:sz w:val="20"/>
          <w:szCs w:val="20"/>
          <w:lang w:val="en-US" w:eastAsia="en-US"/>
          <w14:ligatures w14:val="standardContextual"/>
        </w:rPr>
        <w:t>e.g</w:t>
      </w:r>
      <w:proofErr w:type="spellEnd"/>
      <w:r w:rsidR="00547F75">
        <w:rPr>
          <w:rFonts w:ascii="Helvetica" w:eastAsiaTheme="minorHAnsi" w:hAnsi="Helvetica" w:cstheme="minorBidi"/>
          <w:kern w:val="2"/>
          <w:sz w:val="20"/>
          <w:szCs w:val="20"/>
          <w:lang w:val="en-US" w:eastAsia="en-US"/>
          <w14:ligatures w14:val="standardContextual"/>
        </w:rPr>
        <w:t xml:space="preserve"> splits, dividends </w:t>
      </w:r>
      <w:proofErr w:type="spellStart"/>
      <w:r w:rsidR="00547F75">
        <w:rPr>
          <w:rFonts w:ascii="Helvetica" w:eastAsiaTheme="minorHAnsi" w:hAnsi="Helvetica" w:cstheme="minorBidi"/>
          <w:kern w:val="2"/>
          <w:sz w:val="20"/>
          <w:szCs w:val="20"/>
          <w:lang w:val="en-US" w:eastAsia="en-US"/>
          <w14:ligatures w14:val="standardContextual"/>
        </w:rPr>
        <w:t>etc</w:t>
      </w:r>
      <w:proofErr w:type="spellEnd"/>
      <w:r w:rsidR="00547F75">
        <w:rPr>
          <w:rFonts w:ascii="Helvetica" w:eastAsiaTheme="minorHAnsi" w:hAnsi="Helvetica" w:cstheme="minorBidi"/>
          <w:kern w:val="2"/>
          <w:sz w:val="20"/>
          <w:szCs w:val="20"/>
          <w:lang w:val="en-US" w:eastAsia="en-US"/>
          <w14:ligatures w14:val="standardContextual"/>
        </w:rPr>
        <w:t>)</w:t>
      </w:r>
      <w:r w:rsidR="004E43F5">
        <w:rPr>
          <w:rFonts w:ascii="Helvetica" w:eastAsiaTheme="minorHAnsi" w:hAnsi="Helvetica" w:cstheme="minorBidi"/>
          <w:kern w:val="2"/>
          <w:sz w:val="20"/>
          <w:szCs w:val="20"/>
          <w:lang w:val="en-US" w:eastAsia="en-US"/>
          <w14:ligatures w14:val="standardContextual"/>
        </w:rPr>
        <w:t>, VIX, Index Levels</w:t>
      </w:r>
    </w:p>
    <w:p w14:paraId="6E47357F" w14:textId="77777777" w:rsidR="00547F75" w:rsidRDefault="00547F75" w:rsidP="001A0AEB">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535EC2FC" w14:textId="0C81051F" w:rsidR="00B203AD" w:rsidRDefault="00DD6F6A" w:rsidP="00447144">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CRSP (via WRDS) is a package in Python that is best for academic research, providing information such as </w:t>
      </w:r>
    </w:p>
    <w:p w14:paraId="529AB147" w14:textId="77777777" w:rsidR="00447144" w:rsidRPr="00447144" w:rsidRDefault="00447144" w:rsidP="00447144">
      <w:pPr>
        <w:pStyle w:val="comp"/>
        <w:spacing w:before="0" w:beforeAutospacing="0" w:after="0" w:afterAutospacing="0"/>
        <w:jc w:val="both"/>
        <w:rPr>
          <w:rFonts w:ascii="Helvetica" w:eastAsiaTheme="minorHAnsi" w:hAnsi="Helvetica" w:cstheme="minorBidi"/>
          <w:kern w:val="2"/>
          <w:sz w:val="20"/>
          <w:szCs w:val="20"/>
          <w:lang w:val="en-US" w:eastAsia="en-US"/>
          <w14:ligatures w14:val="standardContextual"/>
        </w:rPr>
      </w:pPr>
    </w:p>
    <w:p w14:paraId="053B10D8" w14:textId="77777777" w:rsidR="00B203AD" w:rsidRPr="00B203AD" w:rsidRDefault="00B203AD" w:rsidP="00B203AD">
      <w:pPr>
        <w:pStyle w:val="ListParagraph"/>
        <w:numPr>
          <w:ilvl w:val="0"/>
          <w:numId w:val="9"/>
        </w:numPr>
        <w:tabs>
          <w:tab w:val="left" w:pos="1515"/>
        </w:tabs>
        <w:rPr>
          <w:lang w:val="en-US"/>
        </w:rPr>
      </w:pPr>
      <w:r w:rsidRPr="00B203AD">
        <w:rPr>
          <w:rFonts w:ascii="Helvetica" w:hAnsi="Helvetica"/>
          <w:sz w:val="20"/>
          <w:szCs w:val="20"/>
          <w:lang w:val="en-US"/>
        </w:rPr>
        <w:t>Survivorship-bias-free returns</w:t>
      </w:r>
    </w:p>
    <w:p w14:paraId="0E245E2F" w14:textId="77777777" w:rsidR="00B203AD" w:rsidRPr="00B203AD" w:rsidRDefault="00B203AD" w:rsidP="00B203AD">
      <w:pPr>
        <w:pStyle w:val="ListParagraph"/>
        <w:numPr>
          <w:ilvl w:val="0"/>
          <w:numId w:val="9"/>
        </w:numPr>
        <w:tabs>
          <w:tab w:val="left" w:pos="1515"/>
        </w:tabs>
        <w:rPr>
          <w:lang w:val="en-US"/>
        </w:rPr>
      </w:pPr>
      <w:r w:rsidRPr="00B203AD">
        <w:rPr>
          <w:rFonts w:ascii="Helvetica" w:hAnsi="Helvetica"/>
          <w:sz w:val="20"/>
          <w:szCs w:val="20"/>
          <w:lang w:val="en-US"/>
        </w:rPr>
        <w:t>Delisting returns</w:t>
      </w:r>
    </w:p>
    <w:p w14:paraId="73CF39E7" w14:textId="010E7E2C" w:rsidR="00B203AD" w:rsidRPr="00B203AD" w:rsidRDefault="00B203AD" w:rsidP="00B203AD">
      <w:pPr>
        <w:pStyle w:val="ListParagraph"/>
        <w:numPr>
          <w:ilvl w:val="0"/>
          <w:numId w:val="9"/>
        </w:numPr>
        <w:tabs>
          <w:tab w:val="left" w:pos="1515"/>
        </w:tabs>
        <w:rPr>
          <w:lang w:val="en-US"/>
        </w:rPr>
      </w:pPr>
      <w:r w:rsidRPr="00B203AD">
        <w:rPr>
          <w:rFonts w:ascii="Helvetica" w:hAnsi="Helvetica"/>
          <w:sz w:val="20"/>
          <w:szCs w:val="20"/>
          <w:lang w:val="en-US"/>
        </w:rPr>
        <w:t>Market indices</w:t>
      </w:r>
    </w:p>
    <w:p w14:paraId="58BAC141" w14:textId="77777777" w:rsidR="00B203AD" w:rsidRPr="00F81D52" w:rsidRDefault="00B203AD" w:rsidP="00B203AD">
      <w:pPr>
        <w:tabs>
          <w:tab w:val="left" w:pos="1515"/>
        </w:tabs>
        <w:rPr>
          <w:rFonts w:ascii="Helvetica" w:hAnsi="Helvetica"/>
          <w:sz w:val="20"/>
          <w:szCs w:val="20"/>
          <w:lang w:val="en-US"/>
        </w:rPr>
      </w:pPr>
    </w:p>
    <w:p w14:paraId="4CBF977D" w14:textId="1D67D29F" w:rsidR="00B203AD" w:rsidRDefault="0005394D" w:rsidP="00B203AD">
      <w:pPr>
        <w:tabs>
          <w:tab w:val="left" w:pos="1515"/>
        </w:tabs>
        <w:rPr>
          <w:rFonts w:ascii="Helvetica" w:hAnsi="Helvetica"/>
          <w:sz w:val="20"/>
          <w:szCs w:val="20"/>
          <w:lang w:val="en-US"/>
        </w:rPr>
      </w:pPr>
      <w:r>
        <w:rPr>
          <w:rFonts w:ascii="Helvetica" w:hAnsi="Helvetica"/>
          <w:noProof/>
          <w:sz w:val="20"/>
          <w:szCs w:val="20"/>
          <w:lang w:val="en-US"/>
        </w:rPr>
        <w:drawing>
          <wp:inline distT="0" distB="0" distL="0" distR="0" wp14:anchorId="3307E94A" wp14:editId="64C38AE1">
            <wp:extent cx="5731510" cy="780415"/>
            <wp:effectExtent l="0" t="0" r="0" b="0"/>
            <wp:docPr id="17963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2524" name="Picture 1796382524"/>
                    <pic:cNvPicPr/>
                  </pic:nvPicPr>
                  <pic:blipFill>
                    <a:blip r:embed="rId11">
                      <a:extLst>
                        <a:ext uri="{28A0092B-C50C-407E-A947-70E740481C1C}">
                          <a14:useLocalDpi xmlns:a14="http://schemas.microsoft.com/office/drawing/2010/main" val="0"/>
                        </a:ext>
                      </a:extLst>
                    </a:blip>
                    <a:stretch>
                      <a:fillRect/>
                    </a:stretch>
                  </pic:blipFill>
                  <pic:spPr>
                    <a:xfrm>
                      <a:off x="0" y="0"/>
                      <a:ext cx="5731510" cy="780415"/>
                    </a:xfrm>
                    <a:prstGeom prst="rect">
                      <a:avLst/>
                    </a:prstGeom>
                  </pic:spPr>
                </pic:pic>
              </a:graphicData>
            </a:graphic>
          </wp:inline>
        </w:drawing>
      </w:r>
    </w:p>
    <w:p w14:paraId="55F15B72" w14:textId="77777777" w:rsidR="0005394D" w:rsidRDefault="0005394D" w:rsidP="00B203AD">
      <w:pPr>
        <w:tabs>
          <w:tab w:val="left" w:pos="1515"/>
        </w:tabs>
        <w:rPr>
          <w:rFonts w:ascii="Helvetica" w:hAnsi="Helvetica"/>
          <w:sz w:val="20"/>
          <w:szCs w:val="20"/>
          <w:lang w:val="en-US"/>
        </w:rPr>
      </w:pPr>
    </w:p>
    <w:p w14:paraId="754DFEB9" w14:textId="6A0A380A" w:rsidR="0005394D" w:rsidRDefault="00451099" w:rsidP="00B203AD">
      <w:pPr>
        <w:tabs>
          <w:tab w:val="left" w:pos="1515"/>
        </w:tabs>
        <w:rPr>
          <w:rFonts w:ascii="Helvetica" w:hAnsi="Helvetica"/>
          <w:sz w:val="20"/>
          <w:szCs w:val="20"/>
          <w:lang w:val="en-US"/>
        </w:rPr>
      </w:pPr>
      <w:r>
        <w:rPr>
          <w:rFonts w:ascii="Helvetica" w:hAnsi="Helvetica"/>
          <w:sz w:val="20"/>
          <w:szCs w:val="20"/>
          <w:lang w:val="en-US"/>
        </w:rPr>
        <w:t xml:space="preserve">FRED is a useful site for information related to </w:t>
      </w:r>
    </w:p>
    <w:p w14:paraId="278CEDC0" w14:textId="77777777" w:rsidR="00451099" w:rsidRDefault="00451099" w:rsidP="00B203AD">
      <w:pPr>
        <w:tabs>
          <w:tab w:val="left" w:pos="1515"/>
        </w:tabs>
        <w:rPr>
          <w:rFonts w:ascii="Helvetica" w:hAnsi="Helvetica"/>
          <w:sz w:val="20"/>
          <w:szCs w:val="20"/>
          <w:lang w:val="en-US"/>
        </w:rPr>
      </w:pPr>
    </w:p>
    <w:p w14:paraId="51331ECD" w14:textId="77777777" w:rsidR="00451099" w:rsidRDefault="00451099" w:rsidP="00451099">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51099">
        <w:rPr>
          <w:rFonts w:ascii="Helvetica" w:eastAsiaTheme="minorHAnsi" w:hAnsi="Helvetica" w:cstheme="minorBidi"/>
          <w:kern w:val="2"/>
          <w:sz w:val="20"/>
          <w:szCs w:val="20"/>
          <w:lang w:val="en-US" w:eastAsia="en-US"/>
          <w14:ligatures w14:val="standardContextual"/>
        </w:rPr>
        <w:t>CPI, GDP, unemployment</w:t>
      </w:r>
    </w:p>
    <w:p w14:paraId="715E3A8F" w14:textId="77777777" w:rsidR="00451099" w:rsidRDefault="00451099" w:rsidP="00451099">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51099">
        <w:rPr>
          <w:rFonts w:ascii="Helvetica" w:eastAsiaTheme="minorHAnsi" w:hAnsi="Helvetica" w:cstheme="minorBidi"/>
          <w:kern w:val="2"/>
          <w:sz w:val="20"/>
          <w:szCs w:val="20"/>
          <w:lang w:val="en-US" w:eastAsia="en-US"/>
          <w14:ligatures w14:val="standardContextual"/>
        </w:rPr>
        <w:t>FOMC decisions</w:t>
      </w:r>
    </w:p>
    <w:p w14:paraId="036C313B" w14:textId="2FF1FC06" w:rsidR="00451099" w:rsidRPr="00451099" w:rsidRDefault="00451099" w:rsidP="00451099">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51099">
        <w:rPr>
          <w:rFonts w:ascii="Helvetica" w:eastAsiaTheme="minorHAnsi" w:hAnsi="Helvetica" w:cstheme="minorBidi"/>
          <w:kern w:val="2"/>
          <w:sz w:val="20"/>
          <w:szCs w:val="20"/>
          <w:lang w:val="en-US" w:eastAsia="en-US"/>
          <w14:ligatures w14:val="standardContextual"/>
        </w:rPr>
        <w:t>NFP releases</w:t>
      </w:r>
    </w:p>
    <w:p w14:paraId="0E7BF892" w14:textId="77777777" w:rsidR="00451099" w:rsidRDefault="00451099" w:rsidP="00B203AD">
      <w:pPr>
        <w:tabs>
          <w:tab w:val="left" w:pos="1515"/>
        </w:tabs>
        <w:rPr>
          <w:rFonts w:ascii="Helvetica" w:hAnsi="Helvetica"/>
          <w:sz w:val="20"/>
          <w:szCs w:val="20"/>
          <w:lang w:val="en-US"/>
        </w:rPr>
      </w:pPr>
    </w:p>
    <w:p w14:paraId="69A28D59" w14:textId="7B6DF832" w:rsidR="00451099" w:rsidRDefault="006700C1" w:rsidP="00B203AD">
      <w:pPr>
        <w:tabs>
          <w:tab w:val="left" w:pos="1515"/>
        </w:tabs>
        <w:rPr>
          <w:rFonts w:ascii="Helvetica" w:hAnsi="Helvetica"/>
          <w:sz w:val="20"/>
          <w:szCs w:val="20"/>
          <w:lang w:val="en-US"/>
        </w:rPr>
      </w:pPr>
      <w:r>
        <w:rPr>
          <w:rFonts w:ascii="Helvetica" w:hAnsi="Helvetica"/>
          <w:sz w:val="20"/>
          <w:szCs w:val="20"/>
          <w:lang w:val="en-US"/>
        </w:rPr>
        <w:t>One can download the data using the FRED API in Python</w:t>
      </w:r>
    </w:p>
    <w:p w14:paraId="1F4B7354" w14:textId="77777777" w:rsidR="006700C1" w:rsidRDefault="006700C1" w:rsidP="00B203AD">
      <w:pPr>
        <w:tabs>
          <w:tab w:val="left" w:pos="1515"/>
        </w:tabs>
        <w:rPr>
          <w:rFonts w:ascii="Helvetica" w:hAnsi="Helvetica"/>
          <w:sz w:val="20"/>
          <w:szCs w:val="20"/>
          <w:lang w:val="en-US"/>
        </w:rPr>
      </w:pPr>
    </w:p>
    <w:p w14:paraId="4AF7686E" w14:textId="3BD710F8" w:rsidR="006700C1" w:rsidRDefault="00541D65" w:rsidP="00B203AD">
      <w:pPr>
        <w:tabs>
          <w:tab w:val="left" w:pos="1515"/>
        </w:tabs>
        <w:rPr>
          <w:rFonts w:ascii="Helvetica" w:hAnsi="Helvetica"/>
          <w:sz w:val="20"/>
          <w:szCs w:val="20"/>
          <w:lang w:val="en-US"/>
        </w:rPr>
      </w:pPr>
      <w:r>
        <w:rPr>
          <w:rFonts w:ascii="Helvetica" w:hAnsi="Helvetica"/>
          <w:noProof/>
          <w:sz w:val="20"/>
          <w:szCs w:val="20"/>
          <w:lang w:val="en-US"/>
        </w:rPr>
        <w:drawing>
          <wp:inline distT="0" distB="0" distL="0" distR="0" wp14:anchorId="44B2DB33" wp14:editId="05257AF1">
            <wp:extent cx="5731510" cy="952500"/>
            <wp:effectExtent l="0" t="0" r="0" b="0"/>
            <wp:docPr id="1627430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0800" name="Picture 1627430800"/>
                    <pic:cNvPicPr/>
                  </pic:nvPicPr>
                  <pic:blipFill>
                    <a:blip r:embed="rId12">
                      <a:extLst>
                        <a:ext uri="{28A0092B-C50C-407E-A947-70E740481C1C}">
                          <a14:useLocalDpi xmlns:a14="http://schemas.microsoft.com/office/drawing/2010/main" val="0"/>
                        </a:ext>
                      </a:extLst>
                    </a:blip>
                    <a:stretch>
                      <a:fillRect/>
                    </a:stretch>
                  </pic:blipFill>
                  <pic:spPr>
                    <a:xfrm>
                      <a:off x="0" y="0"/>
                      <a:ext cx="5731510" cy="952500"/>
                    </a:xfrm>
                    <a:prstGeom prst="rect">
                      <a:avLst/>
                    </a:prstGeom>
                  </pic:spPr>
                </pic:pic>
              </a:graphicData>
            </a:graphic>
          </wp:inline>
        </w:drawing>
      </w:r>
    </w:p>
    <w:p w14:paraId="2288EF59" w14:textId="77777777" w:rsidR="00D96A61" w:rsidRDefault="00D96A61" w:rsidP="00B203AD">
      <w:pPr>
        <w:tabs>
          <w:tab w:val="left" w:pos="1515"/>
        </w:tabs>
        <w:rPr>
          <w:rFonts w:ascii="Helvetica" w:hAnsi="Helvetica"/>
          <w:sz w:val="20"/>
          <w:szCs w:val="20"/>
          <w:lang w:val="en-US"/>
        </w:rPr>
      </w:pPr>
    </w:p>
    <w:p w14:paraId="5BADD7AD" w14:textId="0079961D" w:rsidR="00D96A61" w:rsidRDefault="00D96A61" w:rsidP="00B203AD">
      <w:pPr>
        <w:tabs>
          <w:tab w:val="left" w:pos="1515"/>
        </w:tabs>
        <w:rPr>
          <w:rFonts w:ascii="Helvetica" w:hAnsi="Helvetica"/>
          <w:sz w:val="20"/>
          <w:szCs w:val="20"/>
          <w:lang w:val="en-US"/>
        </w:rPr>
      </w:pPr>
      <w:r>
        <w:rPr>
          <w:rFonts w:ascii="Helvetica" w:hAnsi="Helvetica"/>
          <w:sz w:val="20"/>
          <w:szCs w:val="20"/>
          <w:lang w:val="en-US"/>
        </w:rPr>
        <w:t>For general news and sentiment data, we can retrieve such information from this package called GDELT, which is possible with Python</w:t>
      </w:r>
      <w:r w:rsidR="0022293A">
        <w:rPr>
          <w:rFonts w:ascii="Helvetica" w:hAnsi="Helvetica"/>
          <w:sz w:val="20"/>
          <w:szCs w:val="20"/>
          <w:lang w:val="en-US"/>
        </w:rPr>
        <w:t>. It contains information such as news timestamps, tone and sentiment as well as global coverage of all events around the globe</w:t>
      </w:r>
    </w:p>
    <w:p w14:paraId="1FD042C1" w14:textId="77777777" w:rsidR="00D96A61" w:rsidRDefault="00D96A61" w:rsidP="00B203AD">
      <w:pPr>
        <w:tabs>
          <w:tab w:val="left" w:pos="1515"/>
        </w:tabs>
        <w:rPr>
          <w:rFonts w:ascii="Helvetica" w:hAnsi="Helvetica"/>
          <w:sz w:val="20"/>
          <w:szCs w:val="20"/>
          <w:lang w:val="en-US"/>
        </w:rPr>
      </w:pPr>
    </w:p>
    <w:p w14:paraId="1FB56C0E" w14:textId="7AE5CFF7" w:rsidR="00D96A61" w:rsidRDefault="0022293A" w:rsidP="00B203AD">
      <w:pPr>
        <w:tabs>
          <w:tab w:val="left" w:pos="1515"/>
        </w:tabs>
        <w:rPr>
          <w:rFonts w:ascii="Helvetica" w:hAnsi="Helvetica"/>
          <w:sz w:val="20"/>
          <w:szCs w:val="20"/>
          <w:lang w:val="en-US"/>
        </w:rPr>
      </w:pPr>
      <w:r>
        <w:rPr>
          <w:rFonts w:ascii="Helvetica" w:hAnsi="Helvetica"/>
          <w:noProof/>
          <w:sz w:val="20"/>
          <w:szCs w:val="20"/>
          <w:lang w:val="en-US"/>
        </w:rPr>
        <w:drawing>
          <wp:inline distT="0" distB="0" distL="0" distR="0" wp14:anchorId="5D681F54" wp14:editId="00375667">
            <wp:extent cx="5731510" cy="637540"/>
            <wp:effectExtent l="0" t="0" r="0" b="0"/>
            <wp:docPr id="1951744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4176" name="Picture 1951744176"/>
                    <pic:cNvPicPr/>
                  </pic:nvPicPr>
                  <pic:blipFill>
                    <a:blip r:embed="rId13">
                      <a:extLst>
                        <a:ext uri="{28A0092B-C50C-407E-A947-70E740481C1C}">
                          <a14:useLocalDpi xmlns:a14="http://schemas.microsoft.com/office/drawing/2010/main" val="0"/>
                        </a:ext>
                      </a:extLst>
                    </a:blip>
                    <a:stretch>
                      <a:fillRect/>
                    </a:stretch>
                  </pic:blipFill>
                  <pic:spPr>
                    <a:xfrm>
                      <a:off x="0" y="0"/>
                      <a:ext cx="5731510" cy="637540"/>
                    </a:xfrm>
                    <a:prstGeom prst="rect">
                      <a:avLst/>
                    </a:prstGeom>
                  </pic:spPr>
                </pic:pic>
              </a:graphicData>
            </a:graphic>
          </wp:inline>
        </w:drawing>
      </w:r>
    </w:p>
    <w:p w14:paraId="50261964" w14:textId="3181D5EF" w:rsidR="0030236E" w:rsidRDefault="0030236E" w:rsidP="00B203AD">
      <w:pPr>
        <w:tabs>
          <w:tab w:val="left" w:pos="1515"/>
        </w:tabs>
        <w:rPr>
          <w:rFonts w:ascii="Helvetica" w:hAnsi="Helvetica"/>
          <w:sz w:val="20"/>
          <w:szCs w:val="20"/>
          <w:lang w:val="en-US"/>
        </w:rPr>
      </w:pPr>
    </w:p>
    <w:p w14:paraId="4AD9E7B9" w14:textId="04748F8C" w:rsidR="0030236E" w:rsidRDefault="00B06059" w:rsidP="00B203AD">
      <w:pPr>
        <w:tabs>
          <w:tab w:val="left" w:pos="1515"/>
        </w:tabs>
        <w:rPr>
          <w:rFonts w:ascii="Helvetica" w:hAnsi="Helvetica"/>
          <w:sz w:val="20"/>
          <w:szCs w:val="20"/>
          <w:lang w:val="en-US"/>
        </w:rPr>
      </w:pPr>
      <w:r>
        <w:rPr>
          <w:rFonts w:ascii="Helvetica" w:hAnsi="Helvetica"/>
          <w:sz w:val="20"/>
          <w:szCs w:val="20"/>
          <w:lang w:val="en-US"/>
        </w:rPr>
        <w:t>As for other events such as corporate earnings, M&amp;A announcements and corporate actions, you can retrieve stock specific information from their corporate website (though it might be tedious).</w:t>
      </w:r>
    </w:p>
    <w:p w14:paraId="3435B26F" w14:textId="77777777" w:rsidR="00B06059" w:rsidRDefault="00B06059" w:rsidP="00B203AD">
      <w:pPr>
        <w:tabs>
          <w:tab w:val="left" w:pos="1515"/>
        </w:tabs>
        <w:rPr>
          <w:rFonts w:ascii="Helvetica" w:hAnsi="Helvetica"/>
          <w:sz w:val="20"/>
          <w:szCs w:val="20"/>
          <w:lang w:val="en-US"/>
        </w:rPr>
      </w:pPr>
    </w:p>
    <w:p w14:paraId="426B5178" w14:textId="3AA53927" w:rsidR="00B06059" w:rsidRPr="00F81D52" w:rsidRDefault="00B06059" w:rsidP="00B203AD">
      <w:pPr>
        <w:tabs>
          <w:tab w:val="left" w:pos="1515"/>
        </w:tabs>
        <w:rPr>
          <w:rFonts w:ascii="Helvetica" w:hAnsi="Helvetica"/>
          <w:sz w:val="20"/>
          <w:szCs w:val="20"/>
          <w:lang w:val="en-US"/>
        </w:rPr>
      </w:pPr>
      <w:r>
        <w:rPr>
          <w:rFonts w:ascii="Helvetica" w:hAnsi="Helvetica"/>
          <w:sz w:val="20"/>
          <w:szCs w:val="20"/>
          <w:lang w:val="en-US"/>
        </w:rPr>
        <w:t>Again, for the scope of our event impact model project, we will only focus on a few events (NOT ALL)</w:t>
      </w:r>
    </w:p>
    <w:sectPr w:rsidR="00B06059" w:rsidRPr="00F81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95DA" w14:textId="77777777" w:rsidR="00462774" w:rsidRDefault="00462774" w:rsidP="00D82910">
      <w:r>
        <w:separator/>
      </w:r>
    </w:p>
  </w:endnote>
  <w:endnote w:type="continuationSeparator" w:id="0">
    <w:p w14:paraId="03B0DD87" w14:textId="77777777" w:rsidR="00462774" w:rsidRDefault="00462774" w:rsidP="00D8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07EB" w14:textId="77777777" w:rsidR="00462774" w:rsidRDefault="00462774" w:rsidP="00D82910">
      <w:r>
        <w:separator/>
      </w:r>
    </w:p>
  </w:footnote>
  <w:footnote w:type="continuationSeparator" w:id="0">
    <w:p w14:paraId="557682AA" w14:textId="77777777" w:rsidR="00462774" w:rsidRDefault="00462774" w:rsidP="00D8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137"/>
    <w:multiLevelType w:val="multilevel"/>
    <w:tmpl w:val="FB2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587"/>
    <w:multiLevelType w:val="multilevel"/>
    <w:tmpl w:val="D22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064D"/>
    <w:multiLevelType w:val="multilevel"/>
    <w:tmpl w:val="B47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B139D"/>
    <w:multiLevelType w:val="multilevel"/>
    <w:tmpl w:val="3F9C9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66FC4"/>
    <w:multiLevelType w:val="multilevel"/>
    <w:tmpl w:val="FCC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0ED8"/>
    <w:multiLevelType w:val="hybridMultilevel"/>
    <w:tmpl w:val="269CA582"/>
    <w:lvl w:ilvl="0" w:tplc="CAAA85A2">
      <w:start w:val="3"/>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E87BE6"/>
    <w:multiLevelType w:val="multilevel"/>
    <w:tmpl w:val="E9B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B110B"/>
    <w:multiLevelType w:val="multilevel"/>
    <w:tmpl w:val="2EB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36F99"/>
    <w:multiLevelType w:val="multilevel"/>
    <w:tmpl w:val="1AC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25705"/>
    <w:multiLevelType w:val="multilevel"/>
    <w:tmpl w:val="252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C0360"/>
    <w:multiLevelType w:val="multilevel"/>
    <w:tmpl w:val="2F1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060F2"/>
    <w:multiLevelType w:val="multilevel"/>
    <w:tmpl w:val="E7B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00EAD"/>
    <w:multiLevelType w:val="multilevel"/>
    <w:tmpl w:val="90D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06369"/>
    <w:multiLevelType w:val="multilevel"/>
    <w:tmpl w:val="FC4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6358D"/>
    <w:multiLevelType w:val="hybridMultilevel"/>
    <w:tmpl w:val="40F44F00"/>
    <w:lvl w:ilvl="0" w:tplc="BD584CCA">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A24F12"/>
    <w:multiLevelType w:val="hybridMultilevel"/>
    <w:tmpl w:val="8A9867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EB3FAE"/>
    <w:multiLevelType w:val="multilevel"/>
    <w:tmpl w:val="651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356EA"/>
    <w:multiLevelType w:val="multilevel"/>
    <w:tmpl w:val="11FC35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20D4F5D"/>
    <w:multiLevelType w:val="multilevel"/>
    <w:tmpl w:val="BD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A7B19"/>
    <w:multiLevelType w:val="multilevel"/>
    <w:tmpl w:val="6E9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570E9"/>
    <w:multiLevelType w:val="multilevel"/>
    <w:tmpl w:val="E1A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62CE9"/>
    <w:multiLevelType w:val="multilevel"/>
    <w:tmpl w:val="223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86D11"/>
    <w:multiLevelType w:val="multilevel"/>
    <w:tmpl w:val="D38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B4C20"/>
    <w:multiLevelType w:val="multilevel"/>
    <w:tmpl w:val="64F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764580">
    <w:abstractNumId w:val="9"/>
  </w:num>
  <w:num w:numId="2" w16cid:durableId="191118541">
    <w:abstractNumId w:val="2"/>
  </w:num>
  <w:num w:numId="3" w16cid:durableId="807627101">
    <w:abstractNumId w:val="14"/>
  </w:num>
  <w:num w:numId="4" w16cid:durableId="830147347">
    <w:abstractNumId w:val="21"/>
  </w:num>
  <w:num w:numId="5" w16cid:durableId="975643951">
    <w:abstractNumId w:val="22"/>
  </w:num>
  <w:num w:numId="6" w16cid:durableId="1270238969">
    <w:abstractNumId w:val="10"/>
  </w:num>
  <w:num w:numId="7" w16cid:durableId="1908685706">
    <w:abstractNumId w:val="19"/>
  </w:num>
  <w:num w:numId="8" w16cid:durableId="233854041">
    <w:abstractNumId w:val="18"/>
  </w:num>
  <w:num w:numId="9" w16cid:durableId="190152004">
    <w:abstractNumId w:val="5"/>
  </w:num>
  <w:num w:numId="10" w16cid:durableId="404912199">
    <w:abstractNumId w:val="23"/>
  </w:num>
  <w:num w:numId="11" w16cid:durableId="1627931107">
    <w:abstractNumId w:val="4"/>
  </w:num>
  <w:num w:numId="12" w16cid:durableId="685057279">
    <w:abstractNumId w:val="17"/>
  </w:num>
  <w:num w:numId="13" w16cid:durableId="1611668340">
    <w:abstractNumId w:val="1"/>
  </w:num>
  <w:num w:numId="14" w16cid:durableId="1113600001">
    <w:abstractNumId w:val="0"/>
  </w:num>
  <w:num w:numId="15" w16cid:durableId="1637758234">
    <w:abstractNumId w:val="12"/>
  </w:num>
  <w:num w:numId="16" w16cid:durableId="605964337">
    <w:abstractNumId w:val="20"/>
  </w:num>
  <w:num w:numId="17" w16cid:durableId="749543072">
    <w:abstractNumId w:val="8"/>
  </w:num>
  <w:num w:numId="18" w16cid:durableId="1471706280">
    <w:abstractNumId w:val="3"/>
  </w:num>
  <w:num w:numId="19" w16cid:durableId="367226021">
    <w:abstractNumId w:val="15"/>
  </w:num>
  <w:num w:numId="20" w16cid:durableId="519314736">
    <w:abstractNumId w:val="11"/>
  </w:num>
  <w:num w:numId="21" w16cid:durableId="918052423">
    <w:abstractNumId w:val="13"/>
  </w:num>
  <w:num w:numId="22" w16cid:durableId="1434276571">
    <w:abstractNumId w:val="16"/>
  </w:num>
  <w:num w:numId="23" w16cid:durableId="513038734">
    <w:abstractNumId w:val="7"/>
  </w:num>
  <w:num w:numId="24" w16cid:durableId="95059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00682"/>
    <w:rsid w:val="000018B5"/>
    <w:rsid w:val="00003526"/>
    <w:rsid w:val="00005ED9"/>
    <w:rsid w:val="0000745A"/>
    <w:rsid w:val="000104E1"/>
    <w:rsid w:val="00014E2A"/>
    <w:rsid w:val="000174F4"/>
    <w:rsid w:val="00020ACB"/>
    <w:rsid w:val="00026EF0"/>
    <w:rsid w:val="00040C0C"/>
    <w:rsid w:val="00041692"/>
    <w:rsid w:val="00045860"/>
    <w:rsid w:val="00046208"/>
    <w:rsid w:val="000519BB"/>
    <w:rsid w:val="00052CB1"/>
    <w:rsid w:val="0005394D"/>
    <w:rsid w:val="00056702"/>
    <w:rsid w:val="00060484"/>
    <w:rsid w:val="000616DF"/>
    <w:rsid w:val="00062627"/>
    <w:rsid w:val="00062752"/>
    <w:rsid w:val="0006413D"/>
    <w:rsid w:val="00064185"/>
    <w:rsid w:val="0007082A"/>
    <w:rsid w:val="00071131"/>
    <w:rsid w:val="00073803"/>
    <w:rsid w:val="00074821"/>
    <w:rsid w:val="0007712A"/>
    <w:rsid w:val="00077256"/>
    <w:rsid w:val="00080864"/>
    <w:rsid w:val="00092369"/>
    <w:rsid w:val="0009262C"/>
    <w:rsid w:val="00094567"/>
    <w:rsid w:val="000A2584"/>
    <w:rsid w:val="000A3070"/>
    <w:rsid w:val="000A384E"/>
    <w:rsid w:val="000A395D"/>
    <w:rsid w:val="000A49C5"/>
    <w:rsid w:val="000A4B14"/>
    <w:rsid w:val="000B1EDC"/>
    <w:rsid w:val="000B66BB"/>
    <w:rsid w:val="000B6F5B"/>
    <w:rsid w:val="000B71A9"/>
    <w:rsid w:val="000B78BA"/>
    <w:rsid w:val="000C099A"/>
    <w:rsid w:val="000C1810"/>
    <w:rsid w:val="000C4754"/>
    <w:rsid w:val="000D6A92"/>
    <w:rsid w:val="000D6B24"/>
    <w:rsid w:val="000E0CE0"/>
    <w:rsid w:val="000E1E8B"/>
    <w:rsid w:val="000E26D1"/>
    <w:rsid w:val="000E422A"/>
    <w:rsid w:val="000E43DF"/>
    <w:rsid w:val="000E6084"/>
    <w:rsid w:val="000F0182"/>
    <w:rsid w:val="000F2A5F"/>
    <w:rsid w:val="000F36C5"/>
    <w:rsid w:val="00103396"/>
    <w:rsid w:val="00112399"/>
    <w:rsid w:val="001139DD"/>
    <w:rsid w:val="00114803"/>
    <w:rsid w:val="00116168"/>
    <w:rsid w:val="001244C1"/>
    <w:rsid w:val="001245E0"/>
    <w:rsid w:val="00124FE3"/>
    <w:rsid w:val="001257BB"/>
    <w:rsid w:val="00125ACC"/>
    <w:rsid w:val="00125D33"/>
    <w:rsid w:val="00126335"/>
    <w:rsid w:val="00126555"/>
    <w:rsid w:val="001322F9"/>
    <w:rsid w:val="00133073"/>
    <w:rsid w:val="00133499"/>
    <w:rsid w:val="001374A3"/>
    <w:rsid w:val="00140077"/>
    <w:rsid w:val="00140298"/>
    <w:rsid w:val="00144B84"/>
    <w:rsid w:val="001450C3"/>
    <w:rsid w:val="0014771B"/>
    <w:rsid w:val="00147BAA"/>
    <w:rsid w:val="00152747"/>
    <w:rsid w:val="00157903"/>
    <w:rsid w:val="00160DE3"/>
    <w:rsid w:val="00162921"/>
    <w:rsid w:val="00164A4C"/>
    <w:rsid w:val="00166538"/>
    <w:rsid w:val="00170F04"/>
    <w:rsid w:val="00170F85"/>
    <w:rsid w:val="001719F0"/>
    <w:rsid w:val="00174ED3"/>
    <w:rsid w:val="001775E1"/>
    <w:rsid w:val="00177794"/>
    <w:rsid w:val="00183873"/>
    <w:rsid w:val="0019418E"/>
    <w:rsid w:val="00194640"/>
    <w:rsid w:val="00194C71"/>
    <w:rsid w:val="00195395"/>
    <w:rsid w:val="001A0AEB"/>
    <w:rsid w:val="001A21CF"/>
    <w:rsid w:val="001A3581"/>
    <w:rsid w:val="001A7AFA"/>
    <w:rsid w:val="001B0056"/>
    <w:rsid w:val="001B1C58"/>
    <w:rsid w:val="001B2268"/>
    <w:rsid w:val="001B37EE"/>
    <w:rsid w:val="001B7883"/>
    <w:rsid w:val="001C2014"/>
    <w:rsid w:val="001C2075"/>
    <w:rsid w:val="001C5406"/>
    <w:rsid w:val="001C6366"/>
    <w:rsid w:val="001C7274"/>
    <w:rsid w:val="001D1C9D"/>
    <w:rsid w:val="001D28E7"/>
    <w:rsid w:val="001D744F"/>
    <w:rsid w:val="001E158A"/>
    <w:rsid w:val="001E1C75"/>
    <w:rsid w:val="001E20F1"/>
    <w:rsid w:val="001E3E74"/>
    <w:rsid w:val="001E673C"/>
    <w:rsid w:val="001E68DA"/>
    <w:rsid w:val="001F1DC1"/>
    <w:rsid w:val="001F44FC"/>
    <w:rsid w:val="001F5C48"/>
    <w:rsid w:val="001F7DC9"/>
    <w:rsid w:val="002029F8"/>
    <w:rsid w:val="002031A1"/>
    <w:rsid w:val="002051E7"/>
    <w:rsid w:val="0020625E"/>
    <w:rsid w:val="0021110C"/>
    <w:rsid w:val="0022007E"/>
    <w:rsid w:val="0022293A"/>
    <w:rsid w:val="00234F91"/>
    <w:rsid w:val="00235FE4"/>
    <w:rsid w:val="0023752C"/>
    <w:rsid w:val="0024108F"/>
    <w:rsid w:val="00241590"/>
    <w:rsid w:val="00241C3D"/>
    <w:rsid w:val="002424E9"/>
    <w:rsid w:val="00242988"/>
    <w:rsid w:val="002453A9"/>
    <w:rsid w:val="00246DDB"/>
    <w:rsid w:val="00247B54"/>
    <w:rsid w:val="00247D29"/>
    <w:rsid w:val="0025035B"/>
    <w:rsid w:val="00253109"/>
    <w:rsid w:val="00254D57"/>
    <w:rsid w:val="002574B6"/>
    <w:rsid w:val="00262ACC"/>
    <w:rsid w:val="00263057"/>
    <w:rsid w:val="00264357"/>
    <w:rsid w:val="00264E27"/>
    <w:rsid w:val="00265F2A"/>
    <w:rsid w:val="00266BA0"/>
    <w:rsid w:val="00267087"/>
    <w:rsid w:val="00267748"/>
    <w:rsid w:val="002711B7"/>
    <w:rsid w:val="002725C6"/>
    <w:rsid w:val="0028045B"/>
    <w:rsid w:val="00285684"/>
    <w:rsid w:val="002874DB"/>
    <w:rsid w:val="00290515"/>
    <w:rsid w:val="002906B7"/>
    <w:rsid w:val="0029256D"/>
    <w:rsid w:val="00292F4A"/>
    <w:rsid w:val="00293864"/>
    <w:rsid w:val="0029440E"/>
    <w:rsid w:val="002946A6"/>
    <w:rsid w:val="002A07AF"/>
    <w:rsid w:val="002A1E21"/>
    <w:rsid w:val="002A31B5"/>
    <w:rsid w:val="002B1AE4"/>
    <w:rsid w:val="002B5982"/>
    <w:rsid w:val="002C144C"/>
    <w:rsid w:val="002C386F"/>
    <w:rsid w:val="002C4B89"/>
    <w:rsid w:val="002C5853"/>
    <w:rsid w:val="002C6BBF"/>
    <w:rsid w:val="002C6DDE"/>
    <w:rsid w:val="002D1020"/>
    <w:rsid w:val="002D40D5"/>
    <w:rsid w:val="002D4C78"/>
    <w:rsid w:val="002D707D"/>
    <w:rsid w:val="002E0BBB"/>
    <w:rsid w:val="002E3D55"/>
    <w:rsid w:val="002E6D1E"/>
    <w:rsid w:val="002F23A4"/>
    <w:rsid w:val="002F60AA"/>
    <w:rsid w:val="002F76BE"/>
    <w:rsid w:val="0030036B"/>
    <w:rsid w:val="0030236E"/>
    <w:rsid w:val="0030753A"/>
    <w:rsid w:val="00311051"/>
    <w:rsid w:val="00312B40"/>
    <w:rsid w:val="00314DAB"/>
    <w:rsid w:val="00314FD6"/>
    <w:rsid w:val="003159BE"/>
    <w:rsid w:val="003175C3"/>
    <w:rsid w:val="00322114"/>
    <w:rsid w:val="00326E5B"/>
    <w:rsid w:val="00330A4E"/>
    <w:rsid w:val="003314EA"/>
    <w:rsid w:val="00333624"/>
    <w:rsid w:val="00335512"/>
    <w:rsid w:val="00342889"/>
    <w:rsid w:val="00343718"/>
    <w:rsid w:val="003459F1"/>
    <w:rsid w:val="00345A6D"/>
    <w:rsid w:val="00345CD5"/>
    <w:rsid w:val="00345CEE"/>
    <w:rsid w:val="003478B4"/>
    <w:rsid w:val="003502AD"/>
    <w:rsid w:val="003507A4"/>
    <w:rsid w:val="003558EC"/>
    <w:rsid w:val="0035707E"/>
    <w:rsid w:val="00357738"/>
    <w:rsid w:val="003655AA"/>
    <w:rsid w:val="00365AD5"/>
    <w:rsid w:val="0037093F"/>
    <w:rsid w:val="0037296B"/>
    <w:rsid w:val="0037442E"/>
    <w:rsid w:val="00376509"/>
    <w:rsid w:val="003833ED"/>
    <w:rsid w:val="00393C59"/>
    <w:rsid w:val="00396BE1"/>
    <w:rsid w:val="003A4E17"/>
    <w:rsid w:val="003A79F8"/>
    <w:rsid w:val="003B4810"/>
    <w:rsid w:val="003B6E31"/>
    <w:rsid w:val="003C06AD"/>
    <w:rsid w:val="003C1CB2"/>
    <w:rsid w:val="003C4A5D"/>
    <w:rsid w:val="003C5DCA"/>
    <w:rsid w:val="003D005A"/>
    <w:rsid w:val="003D1017"/>
    <w:rsid w:val="003E12EF"/>
    <w:rsid w:val="003E2A44"/>
    <w:rsid w:val="003E3F68"/>
    <w:rsid w:val="003E545D"/>
    <w:rsid w:val="003E569D"/>
    <w:rsid w:val="003E760B"/>
    <w:rsid w:val="003F153E"/>
    <w:rsid w:val="003F2A2C"/>
    <w:rsid w:val="00404B4E"/>
    <w:rsid w:val="0041035B"/>
    <w:rsid w:val="00411523"/>
    <w:rsid w:val="004148B1"/>
    <w:rsid w:val="004150A3"/>
    <w:rsid w:val="00421EB3"/>
    <w:rsid w:val="00421F76"/>
    <w:rsid w:val="004257E1"/>
    <w:rsid w:val="00427680"/>
    <w:rsid w:val="004310E5"/>
    <w:rsid w:val="0043148A"/>
    <w:rsid w:val="00433E2A"/>
    <w:rsid w:val="004367C4"/>
    <w:rsid w:val="00437AA5"/>
    <w:rsid w:val="00440A42"/>
    <w:rsid w:val="004426B8"/>
    <w:rsid w:val="00442E96"/>
    <w:rsid w:val="00446405"/>
    <w:rsid w:val="00447144"/>
    <w:rsid w:val="00447309"/>
    <w:rsid w:val="004475DD"/>
    <w:rsid w:val="00451099"/>
    <w:rsid w:val="00455EEC"/>
    <w:rsid w:val="004579B0"/>
    <w:rsid w:val="00462774"/>
    <w:rsid w:val="00462DA9"/>
    <w:rsid w:val="00463339"/>
    <w:rsid w:val="00464317"/>
    <w:rsid w:val="004666B2"/>
    <w:rsid w:val="00467847"/>
    <w:rsid w:val="00470267"/>
    <w:rsid w:val="0047222A"/>
    <w:rsid w:val="004733B6"/>
    <w:rsid w:val="00473430"/>
    <w:rsid w:val="00474349"/>
    <w:rsid w:val="004759A9"/>
    <w:rsid w:val="004776ED"/>
    <w:rsid w:val="00477932"/>
    <w:rsid w:val="004876E7"/>
    <w:rsid w:val="00487D99"/>
    <w:rsid w:val="004900F0"/>
    <w:rsid w:val="004925B0"/>
    <w:rsid w:val="00495CC3"/>
    <w:rsid w:val="004A4149"/>
    <w:rsid w:val="004B022C"/>
    <w:rsid w:val="004B7E4A"/>
    <w:rsid w:val="004C0A23"/>
    <w:rsid w:val="004C2275"/>
    <w:rsid w:val="004C77BA"/>
    <w:rsid w:val="004D13F4"/>
    <w:rsid w:val="004D276D"/>
    <w:rsid w:val="004D5373"/>
    <w:rsid w:val="004D7203"/>
    <w:rsid w:val="004E01A4"/>
    <w:rsid w:val="004E136E"/>
    <w:rsid w:val="004E1A8F"/>
    <w:rsid w:val="004E1D09"/>
    <w:rsid w:val="004E20E0"/>
    <w:rsid w:val="004E3E0A"/>
    <w:rsid w:val="004E43F5"/>
    <w:rsid w:val="004F342E"/>
    <w:rsid w:val="00500DE5"/>
    <w:rsid w:val="00500F56"/>
    <w:rsid w:val="00502C76"/>
    <w:rsid w:val="00510F5C"/>
    <w:rsid w:val="0051175B"/>
    <w:rsid w:val="00513E06"/>
    <w:rsid w:val="005176A3"/>
    <w:rsid w:val="00520CC7"/>
    <w:rsid w:val="005219BA"/>
    <w:rsid w:val="0052527F"/>
    <w:rsid w:val="00525A7B"/>
    <w:rsid w:val="005301E6"/>
    <w:rsid w:val="00533156"/>
    <w:rsid w:val="005412CE"/>
    <w:rsid w:val="00541D65"/>
    <w:rsid w:val="00546F3C"/>
    <w:rsid w:val="00547F75"/>
    <w:rsid w:val="00550677"/>
    <w:rsid w:val="005537E0"/>
    <w:rsid w:val="00553AC0"/>
    <w:rsid w:val="005609D8"/>
    <w:rsid w:val="00563780"/>
    <w:rsid w:val="005675D1"/>
    <w:rsid w:val="005714DB"/>
    <w:rsid w:val="0057340C"/>
    <w:rsid w:val="00574144"/>
    <w:rsid w:val="005802C8"/>
    <w:rsid w:val="0058067F"/>
    <w:rsid w:val="00583314"/>
    <w:rsid w:val="00590240"/>
    <w:rsid w:val="00590F51"/>
    <w:rsid w:val="005933A5"/>
    <w:rsid w:val="00593B02"/>
    <w:rsid w:val="005942F3"/>
    <w:rsid w:val="005946B6"/>
    <w:rsid w:val="00595708"/>
    <w:rsid w:val="00595D9F"/>
    <w:rsid w:val="005A135E"/>
    <w:rsid w:val="005A395C"/>
    <w:rsid w:val="005B07AB"/>
    <w:rsid w:val="005B0CF8"/>
    <w:rsid w:val="005B2EEF"/>
    <w:rsid w:val="005B4A19"/>
    <w:rsid w:val="005B694A"/>
    <w:rsid w:val="005C0401"/>
    <w:rsid w:val="005C1203"/>
    <w:rsid w:val="005C21B9"/>
    <w:rsid w:val="005C3F61"/>
    <w:rsid w:val="005C5B68"/>
    <w:rsid w:val="005C6ADA"/>
    <w:rsid w:val="005C7B44"/>
    <w:rsid w:val="005D39B8"/>
    <w:rsid w:val="005D4697"/>
    <w:rsid w:val="005D6BF7"/>
    <w:rsid w:val="005E2B89"/>
    <w:rsid w:val="005E4D9A"/>
    <w:rsid w:val="005E5484"/>
    <w:rsid w:val="005F2FF9"/>
    <w:rsid w:val="005F3045"/>
    <w:rsid w:val="005F346A"/>
    <w:rsid w:val="005F3871"/>
    <w:rsid w:val="005F3D55"/>
    <w:rsid w:val="005F42E6"/>
    <w:rsid w:val="005F6BF8"/>
    <w:rsid w:val="0060414B"/>
    <w:rsid w:val="00605B14"/>
    <w:rsid w:val="00606BD2"/>
    <w:rsid w:val="0060780C"/>
    <w:rsid w:val="006121D1"/>
    <w:rsid w:val="00620709"/>
    <w:rsid w:val="006228EA"/>
    <w:rsid w:val="00622DD4"/>
    <w:rsid w:val="00625386"/>
    <w:rsid w:val="006262B9"/>
    <w:rsid w:val="00627086"/>
    <w:rsid w:val="00630880"/>
    <w:rsid w:val="00634ED7"/>
    <w:rsid w:val="006355AC"/>
    <w:rsid w:val="00635CB9"/>
    <w:rsid w:val="00643B91"/>
    <w:rsid w:val="00644F71"/>
    <w:rsid w:val="00646133"/>
    <w:rsid w:val="00647323"/>
    <w:rsid w:val="006473EA"/>
    <w:rsid w:val="00650A0B"/>
    <w:rsid w:val="006523F0"/>
    <w:rsid w:val="00663647"/>
    <w:rsid w:val="006659E4"/>
    <w:rsid w:val="00665C9E"/>
    <w:rsid w:val="00665EA0"/>
    <w:rsid w:val="006700C1"/>
    <w:rsid w:val="00670378"/>
    <w:rsid w:val="00672EEF"/>
    <w:rsid w:val="006739FA"/>
    <w:rsid w:val="00675BD6"/>
    <w:rsid w:val="006774BC"/>
    <w:rsid w:val="00684AE9"/>
    <w:rsid w:val="006857C2"/>
    <w:rsid w:val="00685E21"/>
    <w:rsid w:val="0068770C"/>
    <w:rsid w:val="00687FE7"/>
    <w:rsid w:val="00691AF9"/>
    <w:rsid w:val="006922FC"/>
    <w:rsid w:val="00697412"/>
    <w:rsid w:val="006974E8"/>
    <w:rsid w:val="006A0A74"/>
    <w:rsid w:val="006A1998"/>
    <w:rsid w:val="006A25B4"/>
    <w:rsid w:val="006A581E"/>
    <w:rsid w:val="006A5BC6"/>
    <w:rsid w:val="006A5C1A"/>
    <w:rsid w:val="006A657D"/>
    <w:rsid w:val="006A79D4"/>
    <w:rsid w:val="006B384A"/>
    <w:rsid w:val="006B6BD7"/>
    <w:rsid w:val="006C1E90"/>
    <w:rsid w:val="006C4254"/>
    <w:rsid w:val="006C5079"/>
    <w:rsid w:val="006C5ACA"/>
    <w:rsid w:val="006C5B0C"/>
    <w:rsid w:val="006D16C7"/>
    <w:rsid w:val="006D25F4"/>
    <w:rsid w:val="006D31BD"/>
    <w:rsid w:val="006D3BE5"/>
    <w:rsid w:val="006D6B05"/>
    <w:rsid w:val="006E5E98"/>
    <w:rsid w:val="006E7AC4"/>
    <w:rsid w:val="006F01C0"/>
    <w:rsid w:val="006F4F0C"/>
    <w:rsid w:val="006F67B8"/>
    <w:rsid w:val="006F72DB"/>
    <w:rsid w:val="00704358"/>
    <w:rsid w:val="00705CD2"/>
    <w:rsid w:val="00706CF2"/>
    <w:rsid w:val="007075E6"/>
    <w:rsid w:val="00713547"/>
    <w:rsid w:val="007137D0"/>
    <w:rsid w:val="00714EB6"/>
    <w:rsid w:val="00715EA3"/>
    <w:rsid w:val="00716349"/>
    <w:rsid w:val="00716FBB"/>
    <w:rsid w:val="00717833"/>
    <w:rsid w:val="007217D0"/>
    <w:rsid w:val="0072270E"/>
    <w:rsid w:val="00724D1A"/>
    <w:rsid w:val="00727B2A"/>
    <w:rsid w:val="007331C0"/>
    <w:rsid w:val="007332A7"/>
    <w:rsid w:val="00734D2F"/>
    <w:rsid w:val="00735158"/>
    <w:rsid w:val="00737100"/>
    <w:rsid w:val="00740E87"/>
    <w:rsid w:val="007420EB"/>
    <w:rsid w:val="007441FC"/>
    <w:rsid w:val="00744A8B"/>
    <w:rsid w:val="007472BD"/>
    <w:rsid w:val="0075619C"/>
    <w:rsid w:val="00756548"/>
    <w:rsid w:val="00757A27"/>
    <w:rsid w:val="00757FF5"/>
    <w:rsid w:val="007609C9"/>
    <w:rsid w:val="007619A7"/>
    <w:rsid w:val="00762AC6"/>
    <w:rsid w:val="00762DAB"/>
    <w:rsid w:val="00766928"/>
    <w:rsid w:val="00766C74"/>
    <w:rsid w:val="00766EFD"/>
    <w:rsid w:val="00772936"/>
    <w:rsid w:val="00774113"/>
    <w:rsid w:val="00774607"/>
    <w:rsid w:val="00775D72"/>
    <w:rsid w:val="0077674E"/>
    <w:rsid w:val="00776C2C"/>
    <w:rsid w:val="00781436"/>
    <w:rsid w:val="0078613E"/>
    <w:rsid w:val="00787F70"/>
    <w:rsid w:val="007900C5"/>
    <w:rsid w:val="00793419"/>
    <w:rsid w:val="00793DA9"/>
    <w:rsid w:val="007943B9"/>
    <w:rsid w:val="007957CD"/>
    <w:rsid w:val="007961E7"/>
    <w:rsid w:val="007A1EC4"/>
    <w:rsid w:val="007A21C3"/>
    <w:rsid w:val="007A251D"/>
    <w:rsid w:val="007A2F9A"/>
    <w:rsid w:val="007A4503"/>
    <w:rsid w:val="007A4F33"/>
    <w:rsid w:val="007A612C"/>
    <w:rsid w:val="007B0074"/>
    <w:rsid w:val="007B55C8"/>
    <w:rsid w:val="007C0E68"/>
    <w:rsid w:val="007C1076"/>
    <w:rsid w:val="007C7AFE"/>
    <w:rsid w:val="007D27AD"/>
    <w:rsid w:val="007D3C20"/>
    <w:rsid w:val="007E1D4D"/>
    <w:rsid w:val="007E3413"/>
    <w:rsid w:val="007E60F3"/>
    <w:rsid w:val="007E7CC2"/>
    <w:rsid w:val="007F05A1"/>
    <w:rsid w:val="007F3DA5"/>
    <w:rsid w:val="007F5BAD"/>
    <w:rsid w:val="007F723F"/>
    <w:rsid w:val="00800178"/>
    <w:rsid w:val="00800D0C"/>
    <w:rsid w:val="00800FD7"/>
    <w:rsid w:val="00802906"/>
    <w:rsid w:val="0080783C"/>
    <w:rsid w:val="008103D8"/>
    <w:rsid w:val="008125D0"/>
    <w:rsid w:val="00816380"/>
    <w:rsid w:val="00816D7C"/>
    <w:rsid w:val="00824043"/>
    <w:rsid w:val="008267E1"/>
    <w:rsid w:val="008326E4"/>
    <w:rsid w:val="00842CDF"/>
    <w:rsid w:val="0084322B"/>
    <w:rsid w:val="008466C2"/>
    <w:rsid w:val="0084672A"/>
    <w:rsid w:val="00850568"/>
    <w:rsid w:val="008518AB"/>
    <w:rsid w:val="00853AC3"/>
    <w:rsid w:val="008544CE"/>
    <w:rsid w:val="0086101F"/>
    <w:rsid w:val="0086144F"/>
    <w:rsid w:val="00865163"/>
    <w:rsid w:val="00867B4D"/>
    <w:rsid w:val="00871BEA"/>
    <w:rsid w:val="0087519C"/>
    <w:rsid w:val="00876DD7"/>
    <w:rsid w:val="008777F0"/>
    <w:rsid w:val="00877EE9"/>
    <w:rsid w:val="00881682"/>
    <w:rsid w:val="00881C62"/>
    <w:rsid w:val="00882213"/>
    <w:rsid w:val="0088265C"/>
    <w:rsid w:val="00885339"/>
    <w:rsid w:val="00885EE4"/>
    <w:rsid w:val="00886332"/>
    <w:rsid w:val="008943EA"/>
    <w:rsid w:val="008A0706"/>
    <w:rsid w:val="008A2D40"/>
    <w:rsid w:val="008A372A"/>
    <w:rsid w:val="008A6C29"/>
    <w:rsid w:val="008B1AE0"/>
    <w:rsid w:val="008B552E"/>
    <w:rsid w:val="008B7A7E"/>
    <w:rsid w:val="008C0B8C"/>
    <w:rsid w:val="008C34FE"/>
    <w:rsid w:val="008C3F08"/>
    <w:rsid w:val="008C4537"/>
    <w:rsid w:val="008D02B2"/>
    <w:rsid w:val="008D0637"/>
    <w:rsid w:val="008D28FE"/>
    <w:rsid w:val="008D46DC"/>
    <w:rsid w:val="008E2BE0"/>
    <w:rsid w:val="008E3117"/>
    <w:rsid w:val="008E5296"/>
    <w:rsid w:val="008E6102"/>
    <w:rsid w:val="008E7AD1"/>
    <w:rsid w:val="008E7DCB"/>
    <w:rsid w:val="008F02CA"/>
    <w:rsid w:val="008F194A"/>
    <w:rsid w:val="008F28C7"/>
    <w:rsid w:val="008F2A33"/>
    <w:rsid w:val="008F2BDD"/>
    <w:rsid w:val="008F5DAF"/>
    <w:rsid w:val="00901761"/>
    <w:rsid w:val="0090198C"/>
    <w:rsid w:val="009035D8"/>
    <w:rsid w:val="009036D4"/>
    <w:rsid w:val="0090448F"/>
    <w:rsid w:val="009046AC"/>
    <w:rsid w:val="00906FD6"/>
    <w:rsid w:val="00911F95"/>
    <w:rsid w:val="00914461"/>
    <w:rsid w:val="00914B65"/>
    <w:rsid w:val="009150DF"/>
    <w:rsid w:val="009164AB"/>
    <w:rsid w:val="00916560"/>
    <w:rsid w:val="009170F3"/>
    <w:rsid w:val="00925731"/>
    <w:rsid w:val="00927C3E"/>
    <w:rsid w:val="00927CF0"/>
    <w:rsid w:val="009325F2"/>
    <w:rsid w:val="0093285B"/>
    <w:rsid w:val="00932A77"/>
    <w:rsid w:val="0093475C"/>
    <w:rsid w:val="009350DC"/>
    <w:rsid w:val="00941819"/>
    <w:rsid w:val="009458C2"/>
    <w:rsid w:val="00947016"/>
    <w:rsid w:val="009513D6"/>
    <w:rsid w:val="00955A31"/>
    <w:rsid w:val="00962676"/>
    <w:rsid w:val="00963882"/>
    <w:rsid w:val="00964A46"/>
    <w:rsid w:val="009651F4"/>
    <w:rsid w:val="00967953"/>
    <w:rsid w:val="00967D1A"/>
    <w:rsid w:val="00967FC1"/>
    <w:rsid w:val="00970740"/>
    <w:rsid w:val="0097108F"/>
    <w:rsid w:val="009736B8"/>
    <w:rsid w:val="00976851"/>
    <w:rsid w:val="009771F1"/>
    <w:rsid w:val="00983CB4"/>
    <w:rsid w:val="00985D4E"/>
    <w:rsid w:val="00987933"/>
    <w:rsid w:val="00990EC8"/>
    <w:rsid w:val="00992C5A"/>
    <w:rsid w:val="009940F1"/>
    <w:rsid w:val="009942B0"/>
    <w:rsid w:val="009A300B"/>
    <w:rsid w:val="009A4611"/>
    <w:rsid w:val="009B0BE5"/>
    <w:rsid w:val="009B0DCB"/>
    <w:rsid w:val="009B0DF7"/>
    <w:rsid w:val="009B4740"/>
    <w:rsid w:val="009B4DC6"/>
    <w:rsid w:val="009B518A"/>
    <w:rsid w:val="009B659F"/>
    <w:rsid w:val="009B7CB1"/>
    <w:rsid w:val="009C02D6"/>
    <w:rsid w:val="009C1245"/>
    <w:rsid w:val="009C40AF"/>
    <w:rsid w:val="009C7A3C"/>
    <w:rsid w:val="009D2DA0"/>
    <w:rsid w:val="009D3961"/>
    <w:rsid w:val="009D3FFC"/>
    <w:rsid w:val="009E2AF7"/>
    <w:rsid w:val="009E4C9A"/>
    <w:rsid w:val="009E6665"/>
    <w:rsid w:val="009F399C"/>
    <w:rsid w:val="009F3D8F"/>
    <w:rsid w:val="009F7387"/>
    <w:rsid w:val="00A059B3"/>
    <w:rsid w:val="00A05A1A"/>
    <w:rsid w:val="00A05CF4"/>
    <w:rsid w:val="00A0776B"/>
    <w:rsid w:val="00A10192"/>
    <w:rsid w:val="00A14055"/>
    <w:rsid w:val="00A1668D"/>
    <w:rsid w:val="00A2075E"/>
    <w:rsid w:val="00A23451"/>
    <w:rsid w:val="00A308CE"/>
    <w:rsid w:val="00A31EC8"/>
    <w:rsid w:val="00A359C0"/>
    <w:rsid w:val="00A37147"/>
    <w:rsid w:val="00A37F33"/>
    <w:rsid w:val="00A42102"/>
    <w:rsid w:val="00A4618F"/>
    <w:rsid w:val="00A46FD6"/>
    <w:rsid w:val="00A502A0"/>
    <w:rsid w:val="00A51591"/>
    <w:rsid w:val="00A51B3E"/>
    <w:rsid w:val="00A52F16"/>
    <w:rsid w:val="00A5625A"/>
    <w:rsid w:val="00A56756"/>
    <w:rsid w:val="00A57C58"/>
    <w:rsid w:val="00A66C3C"/>
    <w:rsid w:val="00A6719C"/>
    <w:rsid w:val="00A7025F"/>
    <w:rsid w:val="00A74671"/>
    <w:rsid w:val="00A74C89"/>
    <w:rsid w:val="00A750FA"/>
    <w:rsid w:val="00A76B7F"/>
    <w:rsid w:val="00A76D61"/>
    <w:rsid w:val="00A76FBD"/>
    <w:rsid w:val="00A80909"/>
    <w:rsid w:val="00A811B7"/>
    <w:rsid w:val="00A81CF4"/>
    <w:rsid w:val="00A84B82"/>
    <w:rsid w:val="00A85909"/>
    <w:rsid w:val="00A8752F"/>
    <w:rsid w:val="00A87DF8"/>
    <w:rsid w:val="00A90A47"/>
    <w:rsid w:val="00A91C0A"/>
    <w:rsid w:val="00A93365"/>
    <w:rsid w:val="00A96564"/>
    <w:rsid w:val="00A96B3B"/>
    <w:rsid w:val="00A97131"/>
    <w:rsid w:val="00AA17A8"/>
    <w:rsid w:val="00AA23BA"/>
    <w:rsid w:val="00AA3286"/>
    <w:rsid w:val="00AA34EB"/>
    <w:rsid w:val="00AB14A2"/>
    <w:rsid w:val="00AB3183"/>
    <w:rsid w:val="00AB373C"/>
    <w:rsid w:val="00AB517C"/>
    <w:rsid w:val="00AB6530"/>
    <w:rsid w:val="00AB6A08"/>
    <w:rsid w:val="00AC1F7C"/>
    <w:rsid w:val="00AC7B3D"/>
    <w:rsid w:val="00AD088E"/>
    <w:rsid w:val="00AD4780"/>
    <w:rsid w:val="00AD4ACA"/>
    <w:rsid w:val="00AD55E1"/>
    <w:rsid w:val="00AD7F9E"/>
    <w:rsid w:val="00AE01EE"/>
    <w:rsid w:val="00AE132C"/>
    <w:rsid w:val="00AE19F2"/>
    <w:rsid w:val="00AE1BF8"/>
    <w:rsid w:val="00AE48D6"/>
    <w:rsid w:val="00AF10D6"/>
    <w:rsid w:val="00AF2830"/>
    <w:rsid w:val="00AF603A"/>
    <w:rsid w:val="00B01345"/>
    <w:rsid w:val="00B032EB"/>
    <w:rsid w:val="00B03852"/>
    <w:rsid w:val="00B05BB6"/>
    <w:rsid w:val="00B06059"/>
    <w:rsid w:val="00B1274E"/>
    <w:rsid w:val="00B203AD"/>
    <w:rsid w:val="00B27900"/>
    <w:rsid w:val="00B40315"/>
    <w:rsid w:val="00B40CAA"/>
    <w:rsid w:val="00B41268"/>
    <w:rsid w:val="00B45376"/>
    <w:rsid w:val="00B562B1"/>
    <w:rsid w:val="00B61325"/>
    <w:rsid w:val="00B6201E"/>
    <w:rsid w:val="00B63F91"/>
    <w:rsid w:val="00B725ED"/>
    <w:rsid w:val="00B73360"/>
    <w:rsid w:val="00B768D1"/>
    <w:rsid w:val="00B81242"/>
    <w:rsid w:val="00B828B0"/>
    <w:rsid w:val="00B84B84"/>
    <w:rsid w:val="00B857ED"/>
    <w:rsid w:val="00B86E16"/>
    <w:rsid w:val="00B9251D"/>
    <w:rsid w:val="00B93124"/>
    <w:rsid w:val="00B936B8"/>
    <w:rsid w:val="00B96E2B"/>
    <w:rsid w:val="00B976ED"/>
    <w:rsid w:val="00B976F5"/>
    <w:rsid w:val="00BA26CB"/>
    <w:rsid w:val="00BA537F"/>
    <w:rsid w:val="00BB02B2"/>
    <w:rsid w:val="00BB26F1"/>
    <w:rsid w:val="00BB2D6B"/>
    <w:rsid w:val="00BB529D"/>
    <w:rsid w:val="00BB67BB"/>
    <w:rsid w:val="00BC02EF"/>
    <w:rsid w:val="00BC7A76"/>
    <w:rsid w:val="00BD09EB"/>
    <w:rsid w:val="00BD1CC7"/>
    <w:rsid w:val="00BD31DD"/>
    <w:rsid w:val="00BD36D2"/>
    <w:rsid w:val="00BD516C"/>
    <w:rsid w:val="00BD5680"/>
    <w:rsid w:val="00BD64C3"/>
    <w:rsid w:val="00BD7F3B"/>
    <w:rsid w:val="00BE0C82"/>
    <w:rsid w:val="00BE0EB7"/>
    <w:rsid w:val="00BE1E02"/>
    <w:rsid w:val="00BF3721"/>
    <w:rsid w:val="00BF606A"/>
    <w:rsid w:val="00C02BE3"/>
    <w:rsid w:val="00C03512"/>
    <w:rsid w:val="00C0588E"/>
    <w:rsid w:val="00C06319"/>
    <w:rsid w:val="00C11B6B"/>
    <w:rsid w:val="00C1356C"/>
    <w:rsid w:val="00C1602E"/>
    <w:rsid w:val="00C16308"/>
    <w:rsid w:val="00C17F45"/>
    <w:rsid w:val="00C20FB1"/>
    <w:rsid w:val="00C23F49"/>
    <w:rsid w:val="00C24992"/>
    <w:rsid w:val="00C33BBD"/>
    <w:rsid w:val="00C33BC9"/>
    <w:rsid w:val="00C342A8"/>
    <w:rsid w:val="00C34AAE"/>
    <w:rsid w:val="00C35E6E"/>
    <w:rsid w:val="00C3729D"/>
    <w:rsid w:val="00C4161F"/>
    <w:rsid w:val="00C430D9"/>
    <w:rsid w:val="00C4359D"/>
    <w:rsid w:val="00C47453"/>
    <w:rsid w:val="00C52658"/>
    <w:rsid w:val="00C52FB3"/>
    <w:rsid w:val="00C57C64"/>
    <w:rsid w:val="00C6041B"/>
    <w:rsid w:val="00C61DC3"/>
    <w:rsid w:val="00C6395E"/>
    <w:rsid w:val="00C645CA"/>
    <w:rsid w:val="00C653C0"/>
    <w:rsid w:val="00C65F67"/>
    <w:rsid w:val="00C671BF"/>
    <w:rsid w:val="00C71A0A"/>
    <w:rsid w:val="00C74FF1"/>
    <w:rsid w:val="00C75701"/>
    <w:rsid w:val="00C81C83"/>
    <w:rsid w:val="00C840F7"/>
    <w:rsid w:val="00C84942"/>
    <w:rsid w:val="00C87F87"/>
    <w:rsid w:val="00C91AD9"/>
    <w:rsid w:val="00C92EF7"/>
    <w:rsid w:val="00C93092"/>
    <w:rsid w:val="00C93715"/>
    <w:rsid w:val="00C93FCE"/>
    <w:rsid w:val="00C95086"/>
    <w:rsid w:val="00C95A7C"/>
    <w:rsid w:val="00C97716"/>
    <w:rsid w:val="00CA043E"/>
    <w:rsid w:val="00CA06CE"/>
    <w:rsid w:val="00CA3E07"/>
    <w:rsid w:val="00CA7E73"/>
    <w:rsid w:val="00CB011B"/>
    <w:rsid w:val="00CB0C7A"/>
    <w:rsid w:val="00CB23B6"/>
    <w:rsid w:val="00CB3914"/>
    <w:rsid w:val="00CB5412"/>
    <w:rsid w:val="00CB6BF6"/>
    <w:rsid w:val="00CC02CD"/>
    <w:rsid w:val="00CC18B4"/>
    <w:rsid w:val="00CC4A32"/>
    <w:rsid w:val="00CC4BCC"/>
    <w:rsid w:val="00CC7ED0"/>
    <w:rsid w:val="00CD05EF"/>
    <w:rsid w:val="00CD2747"/>
    <w:rsid w:val="00CD2E74"/>
    <w:rsid w:val="00CE1227"/>
    <w:rsid w:val="00CE4B32"/>
    <w:rsid w:val="00CE4FA4"/>
    <w:rsid w:val="00CF32D0"/>
    <w:rsid w:val="00CF59BD"/>
    <w:rsid w:val="00D05A0C"/>
    <w:rsid w:val="00D06BA9"/>
    <w:rsid w:val="00D078DF"/>
    <w:rsid w:val="00D11C27"/>
    <w:rsid w:val="00D1677D"/>
    <w:rsid w:val="00D22278"/>
    <w:rsid w:val="00D22702"/>
    <w:rsid w:val="00D23469"/>
    <w:rsid w:val="00D241FD"/>
    <w:rsid w:val="00D2474D"/>
    <w:rsid w:val="00D2615F"/>
    <w:rsid w:val="00D30D34"/>
    <w:rsid w:val="00D320B0"/>
    <w:rsid w:val="00D4175B"/>
    <w:rsid w:val="00D43BB0"/>
    <w:rsid w:val="00D50FB7"/>
    <w:rsid w:val="00D55F43"/>
    <w:rsid w:val="00D61B3A"/>
    <w:rsid w:val="00D63BE2"/>
    <w:rsid w:val="00D64CA6"/>
    <w:rsid w:val="00D67B9D"/>
    <w:rsid w:val="00D71CA3"/>
    <w:rsid w:val="00D723C6"/>
    <w:rsid w:val="00D73920"/>
    <w:rsid w:val="00D82910"/>
    <w:rsid w:val="00D82F7D"/>
    <w:rsid w:val="00D8537D"/>
    <w:rsid w:val="00D912ED"/>
    <w:rsid w:val="00D949AF"/>
    <w:rsid w:val="00D967E1"/>
    <w:rsid w:val="00D96A61"/>
    <w:rsid w:val="00D97078"/>
    <w:rsid w:val="00DA1B85"/>
    <w:rsid w:val="00DA37A4"/>
    <w:rsid w:val="00DA5C7D"/>
    <w:rsid w:val="00DB44B8"/>
    <w:rsid w:val="00DB4FD9"/>
    <w:rsid w:val="00DB52CC"/>
    <w:rsid w:val="00DB532D"/>
    <w:rsid w:val="00DB584B"/>
    <w:rsid w:val="00DB628A"/>
    <w:rsid w:val="00DC2630"/>
    <w:rsid w:val="00DC28B2"/>
    <w:rsid w:val="00DC3348"/>
    <w:rsid w:val="00DC3458"/>
    <w:rsid w:val="00DC520E"/>
    <w:rsid w:val="00DC766E"/>
    <w:rsid w:val="00DD0475"/>
    <w:rsid w:val="00DD14B9"/>
    <w:rsid w:val="00DD354E"/>
    <w:rsid w:val="00DD5075"/>
    <w:rsid w:val="00DD683B"/>
    <w:rsid w:val="00DD6F6A"/>
    <w:rsid w:val="00DD7591"/>
    <w:rsid w:val="00DD7BC3"/>
    <w:rsid w:val="00DE1939"/>
    <w:rsid w:val="00DE2EF8"/>
    <w:rsid w:val="00DE6914"/>
    <w:rsid w:val="00DF1721"/>
    <w:rsid w:val="00DF7CAF"/>
    <w:rsid w:val="00E0050A"/>
    <w:rsid w:val="00E04FD2"/>
    <w:rsid w:val="00E057E4"/>
    <w:rsid w:val="00E06E06"/>
    <w:rsid w:val="00E06EEB"/>
    <w:rsid w:val="00E13375"/>
    <w:rsid w:val="00E155E5"/>
    <w:rsid w:val="00E1627F"/>
    <w:rsid w:val="00E2112B"/>
    <w:rsid w:val="00E212A4"/>
    <w:rsid w:val="00E21DEE"/>
    <w:rsid w:val="00E25355"/>
    <w:rsid w:val="00E3114D"/>
    <w:rsid w:val="00E35970"/>
    <w:rsid w:val="00E4132C"/>
    <w:rsid w:val="00E44FCF"/>
    <w:rsid w:val="00E4596E"/>
    <w:rsid w:val="00E51958"/>
    <w:rsid w:val="00E52677"/>
    <w:rsid w:val="00E57BB9"/>
    <w:rsid w:val="00E608E3"/>
    <w:rsid w:val="00E60942"/>
    <w:rsid w:val="00E60B0B"/>
    <w:rsid w:val="00E664D3"/>
    <w:rsid w:val="00E66BCD"/>
    <w:rsid w:val="00E71003"/>
    <w:rsid w:val="00E71E98"/>
    <w:rsid w:val="00E76D8C"/>
    <w:rsid w:val="00E80B5B"/>
    <w:rsid w:val="00E80E43"/>
    <w:rsid w:val="00E86BD6"/>
    <w:rsid w:val="00E878A3"/>
    <w:rsid w:val="00E90F0A"/>
    <w:rsid w:val="00E969BC"/>
    <w:rsid w:val="00EA0476"/>
    <w:rsid w:val="00EA50B5"/>
    <w:rsid w:val="00EA5AF8"/>
    <w:rsid w:val="00EA7B6C"/>
    <w:rsid w:val="00EB4F87"/>
    <w:rsid w:val="00EB6203"/>
    <w:rsid w:val="00EB6704"/>
    <w:rsid w:val="00EC78FE"/>
    <w:rsid w:val="00ED4100"/>
    <w:rsid w:val="00ED60AD"/>
    <w:rsid w:val="00ED6EEC"/>
    <w:rsid w:val="00EE27CE"/>
    <w:rsid w:val="00EE4B86"/>
    <w:rsid w:val="00EE4C88"/>
    <w:rsid w:val="00EE54CA"/>
    <w:rsid w:val="00EE63EA"/>
    <w:rsid w:val="00EE6BBC"/>
    <w:rsid w:val="00EE78F8"/>
    <w:rsid w:val="00EF290A"/>
    <w:rsid w:val="00EF2B70"/>
    <w:rsid w:val="00EF3A2F"/>
    <w:rsid w:val="00EF4E2A"/>
    <w:rsid w:val="00EF5E4A"/>
    <w:rsid w:val="00EF69A6"/>
    <w:rsid w:val="00EF757D"/>
    <w:rsid w:val="00F02990"/>
    <w:rsid w:val="00F02F8C"/>
    <w:rsid w:val="00F046BE"/>
    <w:rsid w:val="00F04793"/>
    <w:rsid w:val="00F056F5"/>
    <w:rsid w:val="00F12CD4"/>
    <w:rsid w:val="00F12DB4"/>
    <w:rsid w:val="00F13ACD"/>
    <w:rsid w:val="00F13D19"/>
    <w:rsid w:val="00F15FC8"/>
    <w:rsid w:val="00F1641A"/>
    <w:rsid w:val="00F169C4"/>
    <w:rsid w:val="00F21AC6"/>
    <w:rsid w:val="00F23952"/>
    <w:rsid w:val="00F27363"/>
    <w:rsid w:val="00F3250A"/>
    <w:rsid w:val="00F33E72"/>
    <w:rsid w:val="00F3425D"/>
    <w:rsid w:val="00F4410B"/>
    <w:rsid w:val="00F45787"/>
    <w:rsid w:val="00F5173A"/>
    <w:rsid w:val="00F52451"/>
    <w:rsid w:val="00F54C46"/>
    <w:rsid w:val="00F641E3"/>
    <w:rsid w:val="00F65367"/>
    <w:rsid w:val="00F671A9"/>
    <w:rsid w:val="00F738AE"/>
    <w:rsid w:val="00F73CB6"/>
    <w:rsid w:val="00F758A7"/>
    <w:rsid w:val="00F81786"/>
    <w:rsid w:val="00F81AC2"/>
    <w:rsid w:val="00F81D52"/>
    <w:rsid w:val="00F8473D"/>
    <w:rsid w:val="00F875B0"/>
    <w:rsid w:val="00F87F72"/>
    <w:rsid w:val="00F94C34"/>
    <w:rsid w:val="00F95D26"/>
    <w:rsid w:val="00FA2450"/>
    <w:rsid w:val="00FA7DC8"/>
    <w:rsid w:val="00FA7F0C"/>
    <w:rsid w:val="00FB2CD1"/>
    <w:rsid w:val="00FB3073"/>
    <w:rsid w:val="00FB3578"/>
    <w:rsid w:val="00FB77C4"/>
    <w:rsid w:val="00FC0BFA"/>
    <w:rsid w:val="00FC15E4"/>
    <w:rsid w:val="00FC2BC1"/>
    <w:rsid w:val="00FC2E64"/>
    <w:rsid w:val="00FC6485"/>
    <w:rsid w:val="00FD0E9F"/>
    <w:rsid w:val="00FD1692"/>
    <w:rsid w:val="00FE1120"/>
    <w:rsid w:val="00FE5F16"/>
    <w:rsid w:val="00FE71E7"/>
    <w:rsid w:val="00FF16B2"/>
    <w:rsid w:val="00FF2244"/>
    <w:rsid w:val="00FF23D1"/>
    <w:rsid w:val="00FF685B"/>
    <w:rsid w:val="00FF7F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styleId="NormalWeb">
    <w:name w:val="Normal (Web)"/>
    <w:basedOn w:val="Normal"/>
    <w:uiPriority w:val="99"/>
    <w:unhideWhenUsed/>
    <w:rsid w:val="001265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26555"/>
  </w:style>
  <w:style w:type="character" w:styleId="Emphasis">
    <w:name w:val="Emphasis"/>
    <w:basedOn w:val="DefaultParagraphFont"/>
    <w:uiPriority w:val="20"/>
    <w:qFormat/>
    <w:rsid w:val="00126555"/>
    <w:rPr>
      <w:i/>
      <w:iCs/>
    </w:rPr>
  </w:style>
  <w:style w:type="character" w:styleId="Strong">
    <w:name w:val="Strong"/>
    <w:basedOn w:val="DefaultParagraphFont"/>
    <w:uiPriority w:val="22"/>
    <w:qFormat/>
    <w:rsid w:val="005C21B9"/>
    <w:rPr>
      <w:b/>
      <w:bCs/>
    </w:rPr>
  </w:style>
  <w:style w:type="table" w:styleId="TableGrid">
    <w:name w:val="Table Grid"/>
    <w:basedOn w:val="TableNormal"/>
    <w:uiPriority w:val="39"/>
    <w:rsid w:val="00BF6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05EF"/>
    <w:rPr>
      <w:color w:val="666666"/>
    </w:rPr>
  </w:style>
  <w:style w:type="character" w:styleId="HTMLCode">
    <w:name w:val="HTML Code"/>
    <w:basedOn w:val="DefaultParagraphFont"/>
    <w:uiPriority w:val="99"/>
    <w:semiHidden/>
    <w:unhideWhenUsed/>
    <w:rsid w:val="005946B6"/>
    <w:rPr>
      <w:rFonts w:ascii="Courier New" w:eastAsia="Times New Roman" w:hAnsi="Courier New" w:cs="Courier New"/>
      <w:sz w:val="20"/>
      <w:szCs w:val="20"/>
    </w:rPr>
  </w:style>
  <w:style w:type="character" w:styleId="Hyperlink">
    <w:name w:val="Hyperlink"/>
    <w:basedOn w:val="DefaultParagraphFont"/>
    <w:uiPriority w:val="99"/>
    <w:unhideWhenUsed/>
    <w:rsid w:val="0093475C"/>
    <w:rPr>
      <w:color w:val="0563C1" w:themeColor="hyperlink"/>
      <w:u w:val="single"/>
    </w:rPr>
  </w:style>
  <w:style w:type="character" w:styleId="UnresolvedMention">
    <w:name w:val="Unresolved Mention"/>
    <w:basedOn w:val="DefaultParagraphFont"/>
    <w:uiPriority w:val="99"/>
    <w:semiHidden/>
    <w:unhideWhenUsed/>
    <w:rsid w:val="0093475C"/>
    <w:rPr>
      <w:color w:val="605E5C"/>
      <w:shd w:val="clear" w:color="auto" w:fill="E1DFDD"/>
    </w:rPr>
  </w:style>
  <w:style w:type="paragraph" w:customStyle="1" w:styleId="pw-post-body-paragraph">
    <w:name w:val="pw-post-body-paragraph"/>
    <w:basedOn w:val="Normal"/>
    <w:rsid w:val="00AA34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ljs-string">
    <w:name w:val="hljs-string"/>
    <w:basedOn w:val="DefaultParagraphFont"/>
    <w:rsid w:val="001C2075"/>
  </w:style>
  <w:style w:type="character" w:customStyle="1" w:styleId="hljs-comment">
    <w:name w:val="hljs-comment"/>
    <w:basedOn w:val="DefaultParagraphFont"/>
    <w:rsid w:val="00D2474D"/>
  </w:style>
  <w:style w:type="character" w:customStyle="1" w:styleId="hljs-number">
    <w:name w:val="hljs-number"/>
    <w:basedOn w:val="DefaultParagraphFont"/>
    <w:rsid w:val="00D2474D"/>
  </w:style>
  <w:style w:type="character" w:customStyle="1" w:styleId="hljs-builtin">
    <w:name w:val="hljs-built_in"/>
    <w:basedOn w:val="DefaultParagraphFont"/>
    <w:rsid w:val="00D2474D"/>
  </w:style>
  <w:style w:type="character" w:customStyle="1" w:styleId="hljs-keyword">
    <w:name w:val="hljs-keyword"/>
    <w:basedOn w:val="DefaultParagraphFont"/>
    <w:rsid w:val="00D2474D"/>
  </w:style>
  <w:style w:type="paragraph" w:styleId="FootnoteText">
    <w:name w:val="footnote text"/>
    <w:basedOn w:val="Normal"/>
    <w:link w:val="FootnoteTextChar"/>
    <w:uiPriority w:val="99"/>
    <w:semiHidden/>
    <w:unhideWhenUsed/>
    <w:rsid w:val="00D82910"/>
    <w:rPr>
      <w:sz w:val="20"/>
      <w:szCs w:val="20"/>
    </w:rPr>
  </w:style>
  <w:style w:type="character" w:customStyle="1" w:styleId="FootnoteTextChar">
    <w:name w:val="Footnote Text Char"/>
    <w:basedOn w:val="DefaultParagraphFont"/>
    <w:link w:val="FootnoteText"/>
    <w:uiPriority w:val="99"/>
    <w:semiHidden/>
    <w:rsid w:val="00D82910"/>
    <w:rPr>
      <w:sz w:val="20"/>
      <w:szCs w:val="20"/>
    </w:rPr>
  </w:style>
  <w:style w:type="character" w:styleId="FootnoteReference">
    <w:name w:val="footnote reference"/>
    <w:basedOn w:val="DefaultParagraphFont"/>
    <w:uiPriority w:val="99"/>
    <w:semiHidden/>
    <w:unhideWhenUsed/>
    <w:rsid w:val="00D82910"/>
    <w:rPr>
      <w:vertAlign w:val="superscript"/>
    </w:rPr>
  </w:style>
  <w:style w:type="paragraph" w:customStyle="1" w:styleId="comp">
    <w:name w:val="comp"/>
    <w:basedOn w:val="Normal"/>
    <w:rsid w:val="00C23F4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7609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e/eventstudy.asp"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ventstudy.de/models/expected_return.html" TargetMode="External"/><Relationship Id="rId4" Type="http://schemas.openxmlformats.org/officeDocument/2006/relationships/settings" Target="settings.xml"/><Relationship Id="rId9" Type="http://schemas.openxmlformats.org/officeDocument/2006/relationships/hyperlink" Target="https://www.sciencedirect.com/topics/economics-econometrics-and-finance/event-stud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E7FDC-5F77-6145-A3D2-E9444F81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2935</Words>
  <Characters>16730</Characters>
  <Application>Microsoft Office Word</Application>
  <DocSecurity>0</DocSecurity>
  <Lines>139</Lines>
  <Paragraphs>39</Paragraphs>
  <ScaleCrop>false</ScaleCrop>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1289</cp:revision>
  <dcterms:created xsi:type="dcterms:W3CDTF">2026-01-12T01:27:00Z</dcterms:created>
  <dcterms:modified xsi:type="dcterms:W3CDTF">2026-02-11T15:01:00Z</dcterms:modified>
</cp:coreProperties>
</file>