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210"/>
        <w:gridCol w:w="78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lt1" w:themeFillShade="bf"/>
            <w:vAlign w:val="center"/>
            <w:hideMark/>
          </w:tcPr>
          <w:p>
            <w:pPr>
              <w:jc w:val="center"/>
              <w:spacing w:line="240" w:lineRule="auto"/>
              <w:rPr>
                <w:rFonts w:ascii="맑은 고딕" w:eastAsia="맑은 고딕" w:hAnsi="맑은 고딕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/>
                <w:b w:val="0"/>
                <w:bCs w:val="0"/>
                <w:szCs w:val="20"/>
              </w:rPr>
              <w:t>Research title</w:t>
            </w:r>
          </w:p>
        </w:tc>
        <w:tc>
          <w:tcPr>
            <w:tcW w:w="7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line="240" w:lineRule="auto"/>
              <w:rPr>
                <w:rFonts w:ascii="맑은 고딕" w:eastAsia="맑은 고딕" w:hAnsi="맑은 고딕"/>
                <w:b w:val="0"/>
                <w:bCs w:val="0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  <w:t>주요 독성 (hERG 외 3종) 데이터를 활용한 모델 구축 및 평가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lt1" w:themeFillShade="bf"/>
            <w:vAlign w:val="center"/>
            <w:hideMark/>
          </w:tcPr>
          <w:p>
            <w:pPr>
              <w:jc w:val="center"/>
              <w:spacing w:line="240" w:lineRule="auto"/>
              <w:rPr>
                <w:rFonts w:ascii="맑은 고딕" w:eastAsia="맑은 고딕" w:hAnsi="맑은 고딕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/>
                <w:b w:val="0"/>
                <w:bCs w:val="0"/>
                <w:szCs w:val="20"/>
              </w:rPr>
              <w:t>Name</w:t>
            </w:r>
          </w:p>
        </w:tc>
        <w:tc>
          <w:tcPr>
            <w:tcW w:w="7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jc w:val="center"/>
              <w:spacing w:line="240" w:lineRule="auto"/>
              <w:rPr>
                <w:rFonts w:ascii="맑은 고딕" w:eastAsia="맑은 고딕" w:hAnsi="맑은 고딕"/>
                <w:b w:val="0"/>
                <w:bCs w:val="0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  <w:t>고강빈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4"/>
          <w:szCs w:val="24"/>
          <w:rtl w:val="off"/>
        </w:rPr>
        <w:t>1. 논문 데이터 수집</w:t>
      </w:r>
    </w:p>
    <w:p>
      <w:pPr>
        <w:ind w:left="200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Cs w:val="20"/>
          <w:rtl w:val="off"/>
        </w:rPr>
        <w:t>1) hERG / DILI 데이터 수집</w:t>
      </w:r>
    </w:p>
    <w:p>
      <w:pPr>
        <w:ind w:left="200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Cs w:val="20"/>
          <w:rtl w:val="off"/>
        </w:rPr>
        <w:t>2) Acute Oral Toxcity 데이터 수집</w:t>
      </w:r>
    </w:p>
    <w:p>
      <w:pPr>
        <w:ind w:left="200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t>Gadaleta et al, 2019에서는 rat acute oral systemic toxicity (LD50) 관련 데이터셋을 공개하고 있다. 해당 데이터는 8,994개의 Training set과 2,895개의 Evaluation set으로 이루어져 있으며, NICEATM과 NCCT의 Cheminformatics community에서 수집할 수 있다.</w:t>
      </w:r>
    </w:p>
    <w:p>
      <w:pPr>
        <w:ind w:left="200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t>데이터 내 Feature의 총 개수는 13개로, 그 중 SMILES와 활성정보를 선택적으로 수집하였다. 처리 후의 Feature의 개수는 ID를 포함하여 총 7개로, 각각에 대한 설명은 다음과 같다.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3008"/>
        <w:gridCol w:w="584"/>
        <w:gridCol w:w="5431"/>
      </w:tblGrid>
      <w:tr>
        <w:trPr/>
        <w:tc>
          <w:tcPr>
            <w:tcW w:w="3008" w:type="dxa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 w:val="0"/>
                <w:bCs w:val="0"/>
                <w:szCs w:val="20"/>
                <w:rtl w:val="off"/>
              </w:rPr>
              <w:t>LD50_mgkg</w:t>
            </w:r>
          </w:p>
        </w:tc>
        <w:tc>
          <w:tcPr>
            <w:tcW w:w="6016" w:type="dxa"/>
            <w:gridSpan w:val="2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 w:val="0"/>
                <w:bCs w:val="0"/>
                <w:szCs w:val="20"/>
                <w:rtl w:val="off"/>
              </w:rPr>
              <w:t>mg/kg 단위의 연속적 값</w:t>
            </w:r>
          </w:p>
        </w:tc>
      </w:tr>
      <w:tr>
        <w:trPr/>
        <w:tc>
          <w:tcPr>
            <w:tcW w:w="3008" w:type="dxa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 w:val="0"/>
                <w:bCs w:val="0"/>
                <w:szCs w:val="20"/>
                <w:rtl w:val="off"/>
              </w:rPr>
              <w:t>very_toxic</w:t>
            </w:r>
          </w:p>
        </w:tc>
        <w:tc>
          <w:tcPr>
            <w:tcW w:w="6016" w:type="dxa"/>
            <w:gridSpan w:val="2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 w:val="0"/>
                <w:bCs w:val="0"/>
                <w:szCs w:val="20"/>
                <w:rtl w:val="off"/>
              </w:rPr>
              <w:t>LD50 &lt; 50mg/kg (TRUE)</w:t>
            </w:r>
          </w:p>
        </w:tc>
      </w:tr>
      <w:tr>
        <w:trPr/>
        <w:tc>
          <w:tcPr>
            <w:tcW w:w="3008" w:type="dxa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 w:val="0"/>
                <w:bCs w:val="0"/>
                <w:szCs w:val="20"/>
                <w:rtl w:val="off"/>
              </w:rPr>
              <w:t>nontoxic</w:t>
            </w:r>
          </w:p>
        </w:tc>
        <w:tc>
          <w:tcPr>
            <w:tcW w:w="6016" w:type="dxa"/>
            <w:gridSpan w:val="2"/>
            <w:vAlign w:val="top"/>
          </w:tcPr>
          <w:p>
            <w:pPr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  <w:r>
              <w:rPr>
                <w:caps w:val="off"/>
                <w:rFonts w:ascii="맑은 고딕" w:eastAsia="맑은 고딕" w:hAnsi="맑은 고딕" w:cs="Georgia"/>
                <w:b w:val="0"/>
                <w:bCs w:val="0"/>
                <w:i w:val="0"/>
                <w:sz w:val="20"/>
                <w:szCs w:val="20"/>
              </w:rPr>
              <w:t xml:space="preserve">LD50 &gt; 2000 mg/kg </w:t>
            </w:r>
            <w:r>
              <w:rPr>
                <w:caps w:val="off"/>
                <w:lang w:eastAsia="ko-KR"/>
                <w:rFonts w:ascii="맑은 고딕" w:eastAsia="맑은 고딕" w:hAnsi="맑은 고딕" w:cs="Georgia"/>
                <w:b w:val="0"/>
                <w:bCs w:val="0"/>
                <w:i w:val="0"/>
                <w:sz w:val="20"/>
                <w:szCs w:val="20"/>
                <w:rtl w:val="off"/>
              </w:rPr>
              <w:t>(TRUE)</w:t>
            </w:r>
          </w:p>
        </w:tc>
      </w:tr>
      <w:tr>
        <w:trPr/>
        <w:tc>
          <w:tcPr>
            <w:tcW w:w="3008" w:type="dxa"/>
            <w:vMerge w:val="restart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 w:val="0"/>
                <w:bCs w:val="0"/>
                <w:szCs w:val="20"/>
                <w:rtl w:val="off"/>
              </w:rPr>
              <w:t>EPA_category</w:t>
            </w:r>
          </w:p>
        </w:tc>
        <w:tc>
          <w:tcPr>
            <w:tcW w:w="584" w:type="dxa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 w:val="0"/>
                <w:bCs w:val="0"/>
                <w:szCs w:val="20"/>
                <w:rtl w:val="off"/>
              </w:rPr>
              <w:t>1</w:t>
            </w:r>
          </w:p>
        </w:tc>
        <w:tc>
          <w:tcPr>
            <w:tcW w:w="5431" w:type="dxa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  <w:r>
              <w:rPr>
                <w:caps w:val="off"/>
                <w:rFonts w:ascii="맑은 고딕" w:eastAsia="맑은 고딕" w:hAnsi="맑은 고딕" w:cs="Georgia"/>
                <w:b w:val="0"/>
                <w:bCs w:val="0"/>
                <w:i w:val="0"/>
                <w:sz w:val="20"/>
                <w:szCs w:val="20"/>
              </w:rPr>
              <w:t>LD50 ≤ 50 mg/kg</w:t>
            </w:r>
          </w:p>
        </w:tc>
      </w:tr>
      <w:tr>
        <w:trPr/>
        <w:tc>
          <w:tcPr>
            <w:tcW w:w="3008" w:type="dxa"/>
            <w:vMerge w:val="continue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</w:p>
        </w:tc>
        <w:tc>
          <w:tcPr>
            <w:tcW w:w="584" w:type="dxa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  <w:t>2</w:t>
            </w:r>
          </w:p>
        </w:tc>
        <w:tc>
          <w:tcPr>
            <w:tcW w:w="5431" w:type="dxa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  <w:r>
              <w:rPr>
                <w:caps w:val="off"/>
                <w:rFonts w:ascii="맑은 고딕" w:eastAsia="맑은 고딕" w:hAnsi="맑은 고딕" w:cs="Georgia"/>
                <w:b w:val="0"/>
                <w:bCs w:val="0"/>
                <w:i w:val="0"/>
                <w:sz w:val="20"/>
                <w:szCs w:val="20"/>
              </w:rPr>
              <w:t>50 &lt; LD50 ≤ 500 mg/kg</w:t>
            </w:r>
          </w:p>
        </w:tc>
      </w:tr>
      <w:tr>
        <w:trPr/>
        <w:tc>
          <w:tcPr>
            <w:tcW w:w="3008" w:type="dxa"/>
            <w:vMerge w:val="continue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</w:p>
        </w:tc>
        <w:tc>
          <w:tcPr>
            <w:tcW w:w="584" w:type="dxa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  <w:t>3</w:t>
            </w:r>
          </w:p>
        </w:tc>
        <w:tc>
          <w:tcPr>
            <w:tcW w:w="5431" w:type="dxa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  <w:r>
              <w:rPr>
                <w:caps w:val="off"/>
                <w:rFonts w:ascii="맑은 고딕" w:eastAsia="맑은 고딕" w:hAnsi="맑은 고딕" w:cs="Georgia"/>
                <w:b w:val="0"/>
                <w:bCs w:val="0"/>
                <w:i w:val="0"/>
                <w:sz w:val="20"/>
                <w:szCs w:val="20"/>
              </w:rPr>
              <w:t>500 &lt; LD50 ≤ 5000 mg/kg</w:t>
            </w:r>
          </w:p>
        </w:tc>
      </w:tr>
      <w:tr>
        <w:trPr/>
        <w:tc>
          <w:tcPr>
            <w:tcW w:w="3008" w:type="dxa"/>
            <w:vMerge w:val="continue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</w:p>
        </w:tc>
        <w:tc>
          <w:tcPr>
            <w:tcW w:w="584" w:type="dxa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  <w:t>4</w:t>
            </w:r>
          </w:p>
        </w:tc>
        <w:tc>
          <w:tcPr>
            <w:tcW w:w="5431" w:type="dxa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  <w:r>
              <w:rPr>
                <w:caps w:val="off"/>
                <w:rFonts w:ascii="맑은 고딕" w:eastAsia="맑은 고딕" w:hAnsi="맑은 고딕" w:cs="Georgia"/>
                <w:b w:val="0"/>
                <w:bCs w:val="0"/>
                <w:i w:val="0"/>
                <w:sz w:val="20"/>
                <w:szCs w:val="20"/>
              </w:rPr>
              <w:t>LD50 &gt; 5000 mg/kg</w:t>
            </w:r>
          </w:p>
        </w:tc>
      </w:tr>
      <w:tr>
        <w:trPr/>
        <w:tc>
          <w:tcPr>
            <w:tcW w:w="3008" w:type="dxa"/>
            <w:vMerge w:val="restart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 w:val="0"/>
                <w:bCs w:val="0"/>
                <w:szCs w:val="20"/>
                <w:rtl w:val="off"/>
              </w:rPr>
              <w:t>GHS_category</w:t>
            </w:r>
          </w:p>
        </w:tc>
        <w:tc>
          <w:tcPr>
            <w:tcW w:w="584" w:type="dxa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  <w:t>1</w:t>
            </w:r>
          </w:p>
        </w:tc>
        <w:tc>
          <w:tcPr>
            <w:tcW w:w="5431" w:type="dxa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  <w:r>
              <w:rPr>
                <w:caps w:val="off"/>
                <w:rFonts w:ascii="맑은 고딕" w:eastAsia="맑은 고딕" w:hAnsi="맑은 고딕" w:cs="Georgia"/>
                <w:b w:val="0"/>
                <w:bCs w:val="0"/>
                <w:i w:val="0"/>
                <w:sz w:val="20"/>
                <w:szCs w:val="20"/>
              </w:rPr>
              <w:t>LD50 ≤ 5 mg/kg</w:t>
            </w:r>
          </w:p>
        </w:tc>
      </w:tr>
      <w:tr>
        <w:trPr/>
        <w:tc>
          <w:tcPr>
            <w:tcW w:w="3008" w:type="dxa"/>
            <w:vMerge w:val="continue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</w:p>
        </w:tc>
        <w:tc>
          <w:tcPr>
            <w:tcW w:w="584" w:type="dxa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  <w:t>2</w:t>
            </w:r>
          </w:p>
        </w:tc>
        <w:tc>
          <w:tcPr>
            <w:tcW w:w="5431" w:type="dxa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  <w:r>
              <w:rPr>
                <w:caps w:val="off"/>
                <w:rFonts w:ascii="맑은 고딕" w:eastAsia="맑은 고딕" w:hAnsi="맑은 고딕" w:cs="Georgia"/>
                <w:b w:val="0"/>
                <w:bCs w:val="0"/>
                <w:i w:val="0"/>
                <w:sz w:val="20"/>
                <w:szCs w:val="20"/>
              </w:rPr>
              <w:t>5 &lt; LD50 ≤ 50 mg/kg</w:t>
            </w:r>
          </w:p>
        </w:tc>
      </w:tr>
      <w:tr>
        <w:trPr/>
        <w:tc>
          <w:tcPr>
            <w:tcW w:w="3008" w:type="dxa"/>
            <w:vMerge w:val="continue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</w:p>
        </w:tc>
        <w:tc>
          <w:tcPr>
            <w:tcW w:w="584" w:type="dxa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  <w:t>3</w:t>
            </w:r>
          </w:p>
        </w:tc>
        <w:tc>
          <w:tcPr>
            <w:tcW w:w="5431" w:type="dxa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  <w:r>
              <w:rPr>
                <w:caps w:val="off"/>
                <w:rFonts w:ascii="맑은 고딕" w:eastAsia="맑은 고딕" w:hAnsi="맑은 고딕" w:cs="Georgia"/>
                <w:b w:val="0"/>
                <w:bCs w:val="0"/>
                <w:i w:val="0"/>
                <w:sz w:val="20"/>
                <w:szCs w:val="20"/>
              </w:rPr>
              <w:t>50 &lt; LD50 ≤ 300 mg/kg</w:t>
            </w:r>
          </w:p>
        </w:tc>
      </w:tr>
      <w:tr>
        <w:trPr/>
        <w:tc>
          <w:tcPr>
            <w:tcW w:w="3008" w:type="dxa"/>
            <w:vMerge w:val="continue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</w:p>
        </w:tc>
        <w:tc>
          <w:tcPr>
            <w:tcW w:w="584" w:type="dxa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  <w:t>4</w:t>
            </w:r>
          </w:p>
        </w:tc>
        <w:tc>
          <w:tcPr>
            <w:tcW w:w="5431" w:type="dxa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  <w:r>
              <w:rPr>
                <w:caps w:val="off"/>
                <w:rFonts w:ascii="맑은 고딕" w:eastAsia="맑은 고딕" w:hAnsi="맑은 고딕" w:cs="Georgia"/>
                <w:b w:val="0"/>
                <w:bCs w:val="0"/>
                <w:i w:val="0"/>
                <w:sz w:val="20"/>
                <w:szCs w:val="20"/>
              </w:rPr>
              <w:t>300 &lt; LD50 ≤ 2000 mg/kg</w:t>
            </w:r>
          </w:p>
        </w:tc>
      </w:tr>
      <w:tr>
        <w:trPr/>
        <w:tc>
          <w:tcPr>
            <w:tcW w:w="3008" w:type="dxa"/>
            <w:vMerge w:val="continue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</w:p>
        </w:tc>
        <w:tc>
          <w:tcPr>
            <w:tcW w:w="584" w:type="dxa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  <w:t>5</w:t>
            </w:r>
          </w:p>
        </w:tc>
        <w:tc>
          <w:tcPr>
            <w:tcW w:w="5431" w:type="dxa"/>
            <w:vAlign w:val="top"/>
          </w:tcPr>
          <w:p>
            <w:pPr>
              <w:jc w:val="left"/>
              <w:shd w:val="clear" w:color="auto" w:fill="auto"/>
              <w:rPr>
                <w:lang w:eastAsia="ko-KR"/>
                <w:rFonts w:ascii="맑은 고딕" w:eastAsia="맑은 고딕" w:hAnsi="맑은 고딕"/>
                <w:b w:val="0"/>
                <w:bCs w:val="0"/>
                <w:szCs w:val="20"/>
                <w:rtl w:val="off"/>
              </w:rPr>
            </w:pPr>
            <w:r>
              <w:rPr>
                <w:caps w:val="off"/>
                <w:rFonts w:ascii="맑은 고딕" w:eastAsia="맑은 고딕" w:hAnsi="맑은 고딕" w:cs="Georgia"/>
                <w:b w:val="0"/>
                <w:bCs w:val="0"/>
                <w:i w:val="0"/>
                <w:sz w:val="20"/>
                <w:szCs w:val="20"/>
              </w:rPr>
              <w:t>LD50 &gt; 2000 mg/kg</w:t>
            </w:r>
          </w:p>
        </w:tc>
      </w:tr>
    </w:tbl>
    <w:p>
      <w:pPr>
        <w:ind w:left="200"/>
        <w:jc w:val="left"/>
        <w:shd w:val="clear" w:color="auto" w:fill="auto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/>
          <w:b w:val="0"/>
          <w:bCs w:val="0"/>
          <w:szCs w:val="20"/>
          <w:rtl w:val="off"/>
        </w:rPr>
        <w:t>TS와 ES는 해당 논문 내에서 모델링에 활용하기 위해 나눈 것이므로 본 연구에서는 병합하여 하나의 포맷의 데이터로 만들었으며, ID는 ref1_(index)의 형태로 추가하였다.</w:t>
      </w:r>
    </w:p>
    <w:p>
      <w:pPr>
        <w:jc w:val="center"/>
        <w:shd w:val="clear" w:color="auto" w:fill="auto"/>
        <w:rPr>
          <w:lang w:eastAsia="ko-KR"/>
          <w:rFonts w:ascii="맑은 고딕" w:eastAsia="맑은 고딕" w:hAnsi="맑은 고딕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/>
          <w:b w:val="0"/>
          <w:bCs w:val="0"/>
          <w:szCs w:val="20"/>
          <w:rtl w:val="off"/>
        </w:rPr>
        <w:drawing>
          <wp:inline distT="0" distB="0" distL="0" distR="0">
            <wp:extent cx="5490024" cy="2412301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0024" cy="24123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hd w:val="clear" w:color="auto" w:fill="auto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Cs w:val="20"/>
          <w:rtl w:val="off"/>
        </w:rPr>
        <w:t>3) AMES Mutagenecity 데이터 수집</w:t>
      </w:r>
    </w:p>
    <w:p>
      <w:pPr>
        <w:ind w:left="200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t>3-1) Hansen et al, 2009</w:t>
      </w:r>
    </w:p>
    <w:p>
      <w:pPr>
        <w:ind w:left="200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t>해당 논문에서는 Ames Mutagenicity Benchmark Data Set을 공개하고 있다. 이 Dataset은 CCRIS, VITIC 등 총 6개의 source로부터 수집되었으며, 각각에 대한 자세한 내용은 다음 표와 같다.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drawing>
          <wp:inline distT="0" distB="0" distL="0" distR="0">
            <wp:extent cx="5757121" cy="2412301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121" cy="24123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t>각 source로부터 수집된 데이터를 하나의 테이블로 병합 후 서로 다른 source간 중복 데이터를 제거하였다. 또한 extraordinary / inorganic molecules 20개가 추가로 제외되었으며, DEREK 또는 MultiCASE 내부 데이터와 모순된 결과를 보이는 25개의 데이터를 제거하여 최종적으로 6,512개의 데이터를 얻었다.</w:t>
      </w:r>
    </w:p>
    <w:p>
      <w:pPr>
        <w:ind w:left="200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t>이렇게 얻어진 데이터 중 SMILES와 Mutagenicity column을 분리하였으며, ID column을 추가하였다. ID는 ref1_(index)의 형태로 설정되었다.</w:t>
      </w:r>
    </w:p>
    <w:p>
      <w:pPr>
        <w:jc w:val="center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drawing>
          <wp:inline distT="0" distB="0" distL="0" distR="0">
            <wp:extent cx="3908626" cy="2412301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8626" cy="24123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</w:p>
    <w:p>
      <w:pPr>
        <w:ind w:left="200"/>
        <w:jc w:val="left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t>3-2) MutagenPred-GCNN. 2021</w:t>
      </w:r>
    </w:p>
    <w:p>
      <w:pPr>
        <w:ind w:left="200"/>
        <w:jc w:val="left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t>해당 논문에서는 총 2개의 데이터셋, Training set과 External validation set을 공개하고 있다. 이 중 TS의 경우 위 Hansen에서 얻어진 데이터와 같은 데이터이므로 ES만을 추가로 수집하였다.</w:t>
      </w:r>
    </w:p>
    <w:p>
      <w:pPr>
        <w:ind w:left="200"/>
        <w:jc w:val="left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t>이는 CCRIS, NTP, ISSSTY로부터 수집되었으며, 703개의 mutagens와 680개의 non-mutagens 데이터를 합하여 총 1,383개의 데이터를 가진다.</w:t>
      </w:r>
    </w:p>
    <w:p>
      <w:pPr>
        <w:ind w:left="200"/>
        <w:jc w:val="left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t>마찬가지로, 위 데이터 중 SMILES와 Mutagenicity column을 분리하여 ID를 추가하였다. 해당 ID는 ref2_(index)의 형태를 가진다.</w:t>
      </w:r>
    </w:p>
    <w:p>
      <w:pPr>
        <w:jc w:val="center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drawing>
          <wp:inline distT="0" distB="0" distL="0" distR="0">
            <wp:extent cx="3822881" cy="2412301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2881" cy="24123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</w:p>
    <w:p>
      <w:pPr>
        <w:ind w:left="200"/>
        <w:jc w:val="left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t>3-3) AMES/QSAR International Collaborative Study</w:t>
      </w:r>
    </w:p>
    <w:p>
      <w:pPr>
        <w:ind w:left="200"/>
        <w:jc w:val="left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t>총 12,140개의 화합물에 대하여 Mutagenicity 확인이 이루어졌으며, 이 중 Ames mutagenicity와 강한 association을 가지는 class A 화합물을 공개하고 있다.</w:t>
      </w:r>
    </w:p>
    <w:p>
      <w:pPr>
        <w:ind w:left="200"/>
        <w:jc w:val="left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t>각 phase별로 약 4,000개의 화합물이 검사되었으며, 이 중 각각 183개, 253개, 236개로 총 672개의 class A 화합물이 선별되었다.</w:t>
      </w:r>
    </w:p>
    <w:p>
      <w:pPr>
        <w:ind w:left="200"/>
        <w:jc w:val="left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t>마찬가지로 이로부터 SMILES와 Mutagenicity column을 분리하여 ref3_(index) 형태의 ID를 추가하였다.</w:t>
      </w:r>
    </w:p>
    <w:p>
      <w:pPr>
        <w:jc w:val="center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drawing>
          <wp:inline distT="0" distB="0" distL="0" distR="0">
            <wp:extent cx="3751708" cy="2412301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1708" cy="24123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/>
        <w:jc w:val="left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t>데이터의 통일성을 위해 class A를 Mutagenicity 1로 다시 labeling하였다.</w:t>
      </w:r>
    </w:p>
    <w:p>
      <w:pPr>
        <w:ind w:left="200"/>
        <w:jc w:val="left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</w:p>
    <w:p>
      <w:pPr>
        <w:ind w:left="200"/>
        <w:jc w:val="left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t>3-4) Xu et al, 2012</w:t>
      </w:r>
    </w:p>
    <w:p>
      <w:pPr>
        <w:ind w:left="200"/>
        <w:jc w:val="left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t>해당 논문에서는 Training set, External validation set을 공개하고 있다. TS는 총 4개의 논문(Cheng et al 2011, Ewing et al 2006, Wang et al 2012, Chen et al 2011)으로부터 수집되었으며, ES는 Lazar toxicity predictions 웹사이트로부터 수집되었다. 각각에 대한 내용은 다음과 같다.</w:t>
      </w: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drawing>
          <wp:inline distT="0" distB="0" distL="0" distR="0">
            <wp:extent cx="5731510" cy="128206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/>
        <w:jc w:val="left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t>전체 데이터에 대하여 잘못된 SMILES와 중복된 데이터가 제거되었으며, E 또는 Z configuration이 부정확한 데이터와 inorganic compounds가 추가로 제거되었다. 마지막으로 무게가 40 미만 혹은 800 이상인 molecules와 tautomers를 제거하여 최종 데이터를 얻었다. 실험의 정확도를 위해 최종 데이터 중 여러 source에 대해 experimental mutagenicity data가 여러 종류인 화합물은 제외되었으며, 비슷한 수치의 experimental mutagenicity data를 가지는 경우 하나만을 남기고 나머지는 제거하였다.</w:t>
      </w:r>
    </w:p>
    <w:p>
      <w:pPr>
        <w:jc w:val="center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drawing>
          <wp:inline distT="0" distB="0" distL="0" distR="0">
            <wp:extent cx="3770080" cy="2412301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0080" cy="24123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/>
        <w:jc w:val="left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t>데이터의 통일성을 위하여 mutagens로 label된 데이터는 1로, non-mutagens로 label된 데이터는 0으로 다시 labeling하였다. 최종적으로 분리된 데이터에 ref4_(index)형태의 ID를 추가하였다.</w:t>
      </w:r>
    </w:p>
    <w:p>
      <w:pPr>
        <w:ind w:left="200"/>
        <w:jc w:val="left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</w:p>
    <w:p>
      <w:pPr>
        <w:ind w:left="200"/>
        <w:jc w:val="left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t>3-5) AMES 최종</w:t>
      </w:r>
    </w:p>
    <w:p>
      <w:pPr>
        <w:ind w:left="200"/>
        <w:jc w:val="left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t>위에서 얻은 데이터들을 하나의 csv로 병합하여 AMES_total을 만들었다.</w:t>
      </w:r>
    </w:p>
    <w:p>
      <w:pPr>
        <w:ind w:left="200"/>
        <w:jc w:val="left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t>총 데이터의 개수는 16,914개로, 9,734개의 mutagens와 7,171개의 non-mutagens 데이터를 가진다.</w:t>
      </w:r>
    </w:p>
    <w:p>
      <w:pPr>
        <w:ind w:left="200"/>
        <w:jc w:val="center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drawing>
          <wp:inline distT="0" distB="0" distL="0" distR="0">
            <wp:extent cx="3766212" cy="2412301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6212" cy="24123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  <w:t>2. Canonicalization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  <w:t>3. 데이터 테이블 병합 및 중복처리</w:t>
      </w:r>
    </w:p>
    <w:p>
      <w:pPr>
        <w:ind w:left="200"/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Cs w:val="20"/>
          <w:rtl w:val="off"/>
        </w:rPr>
        <w:t>Canonicalization된 SMILES를 기준으로 중복된 값의 레이블을 처리한다. 동일 SMILES에 대한 Label의 값이 다를 경우 다음과 같이 처리한다.</w:t>
      </w:r>
    </w:p>
    <w:p>
      <w:pPr>
        <w:rPr>
          <w:rFonts w:ascii="맑은 고딕" w:eastAsia="맑은 고딕" w:hAnsi="맑은 고딕" w:hint="default"/>
          <w:b w:val="0"/>
          <w:bCs w:val="0"/>
          <w:szCs w:val="20"/>
        </w:rPr>
      </w:pPr>
    </w:p>
    <w:sectPr>
      <w:pgSz w:w="11906" w:h="16838"/>
      <w:pgMar w:top="1134" w:right="1440" w:bottom="1134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  <w:spacing w:line="256" w:lineRule="auto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kgbko1117</dc:creator>
  <cp:keywords/>
  <dc:description/>
  <cp:lastModifiedBy>kgbko1117</cp:lastModifiedBy>
  <cp:revision>1</cp:revision>
  <dcterms:created xsi:type="dcterms:W3CDTF">2021-07-14T07:21:24Z</dcterms:created>
  <dcterms:modified xsi:type="dcterms:W3CDTF">2021-07-19T07:24:42Z</dcterms:modified>
  <cp:version>1000.0100.01</cp:version>
</cp:coreProperties>
</file>