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014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2,226</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pStyle w:val="a2"/>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8,309개의 LD50 데이터를 얻을 수 있었다.</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나머지 카테고리에 대해서도 동일한 처리를 진행하였고, 결과적으로 얻어진 데이터의 수는 다음 표와 같다.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8,309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11,744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980</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11,834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228</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1,597</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5,082</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 중복처리는 Canonical SMILES를 기준으로 진행하였으며, Canonicalize 과정과 중복제거 과정에서 각각 660개와 7,590개의 데이터가 제거되었고, 중복된 데이터 중 Mutagenicity의 Variation이 큰 데이터 30개를 추가로 제거하였다.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 xml:space="preserve">최종적으로 수집된 데이터는 8,634개로, 3,800개의 AMES Negative 데이터와 4,834개의 AMES Positive 데이터를 포함한다. </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4,828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3,792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8,620</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IC50은 단일 농도에서 hERG 단백질의 활성 억제정도를 측정한 hERG inhibition을 concentration을 높여가며 수차례 시행하여 얻어진 결과로, 억제 정도가 50%가 되는 시점을 계산한 것이므로 신뢰도가 높은 activity 척도에 속한다. hERG label이 없는 4,111개의 데이터를 제거 후, 나머지 데이터 17,056개에 대하여 Canonicalization을 진행하였으며, 이 과정에서 Canonical 할 수 없는 SMILES를 가지는 20개의 데이터가 제거되었다. 이를 기준으로 3,092개의 중복을 제거하였으며, 중복값에 대해 class의 Variance가 큰 데이터 42개를 추가로 제거하여 최종적으로, 5,790개의 Negative와 8,112개의 Positive를 가지는, 총 13,902개의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1</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빈 subset에 feature를 하나씩 추가하면서, 해당 feature가 추가되었을 때의 accuracy가 증가하거나 유지되었을 때만 feature를 추가하고, 그 외의 경우에는 제외시키는 방식을 사용하였다. 해당 accuracy는 5-fold cross validation에 의해 검증되었으며, 연산속도의 향상을 위하여 MPI(Message Passing Interface)를 이용하였다. MPI는 전체 연산을 분산하여 연결된 CPU 혹은 thread로 보내어 처리 후, 다시 처리 결과를 하나의 thread로 모으는 것이다.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3</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Hashing 방식으로 만들어지는 Fingerprints의 경우, 잘못된 Feature를 골라내면 임의의 Molecule이 입력되었을 때 On으로 표시된 bit가 의도치 않게 제거될 수 있으므로, Descriptor에 대해서만 Feature Selection을 진행하였다. 먼저 Standard Deviation을 이용한 Model-Free 방식을 적용하여 Feature Selection을 진행하였으며, 이후 단계를 높여 Model-Base 방식의 Selection을 진행하였다. Model-Base의 방식으로는 양적 독립변수와 질적 종속변수에 대해서 행하는 기법인 Lasso Regression을 적용하였다.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Model-Free</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Descriptor를 형태별로 분류하여 Binary 형태와 float 형태를 분리하였다. Binary 형태의 경우 class의 개수를 파악하여, 한 쪽 class로 과하게 치중된 경우(전체 데이터의 90%이상이 하나의 class인 경우)는 타겟에 대한 충분한 설명력을 가지지 못한다고 가정하여 제거하였다. Float 형태의 Descriptor의 경우, Scikit-learn의 MinMaxScaler를 이용하여 Scaling을 진행 후 Standard Deviation이 특정 threshold보다 작은 Descriptor를 제거하였다. 각 데이터에 대한 threshold와, Model-Free Feature Selection 이후의 Descriptor 개수는 다음과 같다.</w:t>
      </w:r>
    </w:p>
    <w:tbl>
      <w:tblPr>
        <w:tblStyle w:val="a6"/>
        <w:tblLook w:val="04A0" w:firstRow="1" w:lastRow="0" w:firstColumn="1" w:lastColumn="0" w:noHBand="0" w:noVBand="1"/>
        <w:tblLayout w:type="autofit"/>
      </w:tblPr>
      <w:tblGrid>
        <w:gridCol w:w="5223"/>
        <w:gridCol w:w="1842"/>
        <w:gridCol w:w="1958"/>
      </w:tblGrid>
      <w:tr>
        <w:tc>
          <w:tcPr>
            <w:tcW w:w="5223"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Data</w:t>
            </w:r>
          </w:p>
        </w:tc>
        <w:tc>
          <w:tcPr>
            <w:tcW w:w="1842"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threshold</w:t>
            </w:r>
          </w:p>
        </w:tc>
        <w:tc>
          <w:tcPr>
            <w:tcW w:w="1958"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of Descriptors</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DILI</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181</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LD50</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EPA</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GHS</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AMES Mutagenicity</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0.04</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130</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hERG</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172</w:t>
            </w:r>
          </w:p>
        </w:tc>
      </w:tr>
    </w:tbl>
    <w:p>
      <w:pPr>
        <w:ind w:firstLine="0"/>
        <w:jc w:val="left"/>
        <w:shd w:val="clear" w:color="auto" w:fil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Evaluation metric으로는 서로 다른 세 가지의 classification performance indicator</w:t>
      </w:r>
      <w:r>
        <w:rPr>
          <w:rStyle w:val="a7"/>
          <w:lang w:eastAsia="ko-KR"/>
          <w:rFonts w:hint="eastAsia"/>
          <w:b w:val="0"/>
          <w:bCs w:val="0"/>
          <w:sz w:val="20"/>
          <w:szCs w:val="22"/>
          <w:rtl w:val="off"/>
        </w:rPr>
        <w:footnoteReference w:id="8"/>
      </w:r>
      <w:r>
        <w:rPr>
          <w:lang w:eastAsia="ko-KR"/>
          <w:rFonts w:hint="eastAsia"/>
          <w:b w:val="0"/>
          <w:bCs w:val="0"/>
          <w:sz w:val="20"/>
          <w:szCs w:val="22"/>
          <w:rtl w:val="off"/>
        </w:rPr>
        <w:t>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Sensitivity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Recall이라고도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Sensitivity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 Specificity (True Negative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Negative 대비 True Negative의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Specificity = </m:t>
          </m:r>
          <m:f>
            <m:fPr>
              <m:ctrlPr>
                <w:rPr>
                  <w:rFonts w:ascii="Cambria Math" w:hAnsi="Cambria Math"/>
                </w:rPr>
              </m:ctrlPr>
            </m:fPr>
            <m:num>
              <m:r>
                <w:rPr>
                  <w:lang w:eastAsia="ko-KR"/>
                  <w:rFonts w:ascii="Cambria Math" w:hAnsi="Cambria Math"/>
                  <w:rtl w:val="off"/>
                </w:rPr>
                <m:t>TN</m:t>
              </m:r>
            </m:num>
            <m:den>
              <m:r>
                <w:rPr>
                  <w:lang w:eastAsia="ko-KR"/>
                  <w:rFonts w:ascii="Cambria Math" w:hAnsi="Cambria Math"/>
                  <w:rtl w:val="off"/>
                </w:rPr>
                <m:t>TN + 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Negative로 예측한 값들 중 True Negative(TN)의 비율로, 모델의 Negative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Sensitivity와 Specificity의 산술평균으로 1에 가까울수록 좋은 성능을 보인다고 할 수 있으며, Dataset이 Imbalance한 경우에 Accuracy보다 더 높은 신뢰성을 가지고 활용할 수 있는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Sensitivity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Logistic Regression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Decision Tree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Random Forest</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k-Nearest Neighbor (k-NN)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Naive Bayesian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Support Vector Machine (SVM)</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Decision Tree / Random Forest / k-NN / Naive Bayesian / SVM</w:t>
      </w:r>
    </w:p>
  </w:footnote>
  <w:footnote w:id="8">
    <w:p>
      <w:pPr>
        <w:pStyle w:val="a8"/>
        <w:rPr/>
      </w:pPr>
      <w:r>
        <w:rPr>
          <w:rStyle w:val="a7"/>
          <w:sz w:val="14"/>
          <w:szCs w:val="16"/>
        </w:rPr>
        <w:footnoteRef/>
      </w:r>
      <w:r>
        <w:rPr>
          <w:sz w:val="14"/>
          <w:szCs w:val="16"/>
        </w:rPr>
        <w:t xml:space="preserve"> </w:t>
      </w:r>
      <w:r>
        <w:rPr>
          <w:lang w:eastAsia="ko-KR"/>
          <w:sz w:val="14"/>
          <w:szCs w:val="16"/>
          <w:rtl w:val="off"/>
        </w:rPr>
        <w:t>Su et al,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footnotes" Target="footnotes.xml"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2021-08-13T04:11:14Z</dcterms:modified>
  <cp:version>1000.0100.01</cp:version>
</cp:coreProperties>
</file>