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1,224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037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2,261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pStyle w:val="a2"/>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해당 데이터는 LD50(mg/kg) 값에 기반하여 4개의 Category로 분류되어있었는데, 이 중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모든 데이터를 very_toxic(LD50 &lt; 50mg/kg)과 nontoxic(LD50&gt;2,000mg/kg)으로 분류하였으며 very_toxic을 Positive(1)로, nontoxic을 Negative(0)로 Re-labeling하였다. </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마찬가지로 SMILES의 Canonicalization을 진행했으며, Canonical SMILES를 기준으로 중복 처리를 진행하였다. 해당 데이터의 경우 중복 데이터에 대한 Class의 Variation이 없어 따로 처리를 해주지않았다.</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최종적으로 수집된 데이터는 5,812개로, 4,859개의 Acute Oral Toxicity Negative 데이터와 953개의 Acute Oral Toxicty Positive 데이터를 포함한다.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1118"/>
        <w:gridCol w:w="1118"/>
        <w:gridCol w:w="1129"/>
        <w:gridCol w:w="1129"/>
        <w:gridCol w:w="1129"/>
        <w:gridCol w:w="1129"/>
        <w:gridCol w:w="1129"/>
        <w:gridCol w:w="112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gridSpan w:val="2"/>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12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Category</w:t>
            </w:r>
          </w:p>
        </w:tc>
        <w:tc>
          <w:tcPr>
            <w:tcW w:w="1129" w:type="dxa"/>
            <w:tcBorders>
              <w:top w:val="single" w:sz="4" w:space="0" w:color="000000"/>
              <w:left w:val="single" w:sz="4" w:space="0" w:color="000000"/>
              <w:bottom w:val="single" w:sz="4" w:space="0" w:color="auto"/>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Class 1</w:t>
            </w:r>
          </w:p>
        </w:tc>
        <w:tc>
          <w:tcPr>
            <w:tcW w:w="1129" w:type="dxa"/>
            <w:tcBorders>
              <w:top w:val="single" w:sz="4" w:space="0" w:color="000000"/>
              <w:left w:val="single" w:sz="4" w:space="0" w:color="000000"/>
              <w:bottom w:val="single" w:sz="4" w:space="0" w:color="auto"/>
              <w:right w:val="single" w:sz="4" w:space="0" w:color="000000"/>
            </w:tcBorders>
            <w:shd w:val="clear" w:color="auto" w:fill="E7E6E6"/>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Class 2</w:t>
            </w:r>
          </w:p>
        </w:tc>
        <w:tc>
          <w:tcPr>
            <w:tcW w:w="1129" w:type="dxa"/>
            <w:tcBorders>
              <w:top w:val="single" w:sz="4" w:space="0" w:color="000000"/>
              <w:left w:val="single" w:sz="4" w:space="0" w:color="000000"/>
              <w:bottom w:val="single" w:sz="4" w:space="0" w:color="auto"/>
              <w:right w:val="single" w:sz="4" w:space="0" w:color="000000"/>
            </w:tcBorders>
            <w:shd w:val="clear" w:color="auto" w:fill="E7E6E6"/>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Class 3</w:t>
            </w:r>
          </w:p>
        </w:tc>
        <w:tc>
          <w:tcPr>
            <w:tcW w:w="1129" w:type="dxa"/>
            <w:tcBorders>
              <w:top w:val="single" w:sz="4" w:space="0" w:color="000000"/>
              <w:left w:val="single" w:sz="4" w:space="0" w:color="000000"/>
              <w:bottom w:val="single" w:sz="4" w:space="0" w:color="auto"/>
              <w:right w:val="single" w:sz="4" w:space="0" w:color="000000"/>
            </w:tcBorders>
            <w:shd w:val="clear" w:color="auto" w:fill="E7E6E6"/>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Class 4</w:t>
            </w:r>
          </w:p>
        </w:tc>
        <w:tc>
          <w:tcPr>
            <w:tcW w:w="1129" w:type="dxa"/>
            <w:tcBorders>
              <w:top w:val="single" w:sz="4" w:space="0" w:color="000000"/>
              <w:left w:val="single" w:sz="4" w:space="0" w:color="000000"/>
              <w:bottom w:val="single" w:sz="4" w:space="0" w:color="auto"/>
              <w:right w:val="single" w:sz="4" w:space="0" w:color="000000"/>
            </w:tcBorders>
            <w:shd w:val="clear" w:color="auto" w:fill="E7E6E6"/>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Class 5</w:t>
            </w:r>
          </w:p>
        </w:tc>
      </w:tr>
      <w:tr>
        <w:trPr/>
        <w:tc>
          <w:tcPr>
            <w:cnfStyle w:val="001000000000" w:firstRow="0" w:lastRow="0" w:firstColumn="1" w:lastColumn="0" w:oddVBand="0" w:evenVBand="0" w:oddHBand="0" w:evenHBand="0" w:firstRowFirstColumn="0" w:firstRowLastColumn="0" w:lastRowFirstColumn="0" w:lastRowLastColumn="0"/>
            <w:tcW w:w="2236" w:type="dxa"/>
            <w:gridSpan w:val="2"/>
            <w:vMerge w:val="restart"/>
            <w:tcBorders>
              <w:top w:val="single" w:sz="4" w:space="0" w:color="000000"/>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"https://jcheminf.biomedcentral.com/articles/10.1186/s13321-019-0383-2"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Gadaleta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12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vT</w:t>
            </w:r>
          </w:p>
        </w:tc>
        <w:tc>
          <w:tcPr>
            <w:tcW w:w="1129" w:type="dxa"/>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r>
              <w:rPr>
                <w:lang w:eastAsia="ko-KR"/>
                <w:rtl w:val="off"/>
              </w:rPr>
              <w:t>945</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pPr/>
            <w:r>
              <w:rPr>
                <w:lang w:eastAsia="ko-KR"/>
                <w:rtl w:val="off"/>
              </w:rPr>
              <w:t>10,405</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r>
      <w:tr>
        <w:trPr/>
        <w:tc>
          <w:tcPr>
            <w:cnfStyle w:val="001000000000" w:firstRow="0" w:lastRow="0" w:firstColumn="1" w:lastColumn="0" w:oddVBand="0" w:evenVBand="0" w:oddHBand="0" w:evenHBand="0" w:firstRowFirstColumn="0" w:firstRowLastColumn="0" w:lastRowFirstColumn="0" w:lastRowLastColumn="0"/>
            <w:tcW w:w="2236" w:type="dxa"/>
            <w:gridSpan w:val="2"/>
            <w:vMerge w:val="continue"/>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tc>
        <w:tc>
          <w:tcPr>
            <w:tcW w:w="112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nT</w:t>
            </w:r>
          </w:p>
        </w:tc>
        <w:tc>
          <w:tcPr>
            <w:tcW w:w="1129" w:type="dxa"/>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r>
              <w:rPr>
                <w:lang w:eastAsia="ko-KR"/>
                <w:rtl w:val="off"/>
              </w:rPr>
              <w:t>6,430</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4,856</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r>
      <w:tr>
        <w:trPr/>
        <w:tc>
          <w:tcPr>
            <w:cnfStyle w:val="001000000000" w:firstRow="0" w:lastRow="0" w:firstColumn="1" w:lastColumn="0" w:oddVBand="0" w:evenVBand="0" w:oddHBand="0" w:evenHBand="0" w:firstRowFirstColumn="0" w:firstRowLastColumn="0" w:lastRowFirstColumn="0" w:lastRowLastColumn="0"/>
            <w:tcW w:w="2236" w:type="dxa"/>
            <w:gridSpan w:val="2"/>
            <w:vMerge w:val="continue"/>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tc>
        <w:tc>
          <w:tcPr>
            <w:tcW w:w="112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EPA</w:t>
            </w:r>
          </w:p>
        </w:tc>
        <w:tc>
          <w:tcPr>
            <w:tcW w:w="1129" w:type="dxa"/>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r>
              <w:rPr>
                <w:lang w:eastAsia="ko-KR"/>
                <w:rtl w:val="off"/>
              </w:rPr>
              <w:t>945</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2,449</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5,563</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2,161</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r>
      <w:tr>
        <w:trPr/>
        <w:tc>
          <w:tcPr>
            <w:cnfStyle w:val="001000000000" w:firstRow="0" w:lastRow="0" w:firstColumn="1" w:lastColumn="0" w:oddVBand="0" w:evenVBand="0" w:oddHBand="0" w:evenHBand="0" w:firstRowFirstColumn="0" w:firstRowLastColumn="0" w:lastRowFirstColumn="0" w:lastRowLastColumn="0"/>
            <w:tcW w:w="2236" w:type="dxa"/>
            <w:gridSpan w:val="2"/>
            <w:vMerge w:val="continue"/>
            <w:tcBorders>
              <w:top w:val="single" w:sz="4" w:space="0" w:color="auto"/>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tc>
        <w:tc>
          <w:tcPr>
            <w:tcW w:w="112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GHS</w:t>
            </w:r>
          </w:p>
        </w:tc>
        <w:tc>
          <w:tcPr>
            <w:tcW w:w="1129" w:type="dxa"/>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r>
              <w:rPr>
                <w:lang w:eastAsia="ko-KR"/>
                <w:rtl w:val="off"/>
              </w:rPr>
              <w:t>223</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722</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1,480</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3,929</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4,856</w:t>
            </w:r>
          </w:p>
        </w:tc>
      </w:tr>
      <w:tr>
        <w:trPr/>
        <w:tc>
          <w:tcPr>
            <w:cnfStyle w:val="001000000000" w:firstRow="0" w:lastRow="0" w:firstColumn="1" w:lastColumn="0" w:oddVBand="0" w:evenVBand="0" w:oddHBand="0" w:evenHBand="0" w:firstRowFirstColumn="0" w:firstRowLastColumn="0" w:lastRowFirstColumn="0" w:lastRowLastColumn="0"/>
            <w:tcW w:w="1118"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5,812</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Positive</w:t>
            </w:r>
          </w:p>
        </w:tc>
        <w:tc>
          <w:tcPr>
            <w:tcW w:w="1129" w:type="dxa"/>
            <w:tcBorders>
              <w:top w:val="single" w:sz="4" w:space="0" w:color="auto"/>
              <w:left w:val="single" w:sz="4" w:space="0" w:color="000000"/>
              <w:bottom w:val="single" w:sz="4" w:space="0" w:color="000000"/>
              <w:right w:val="single" w:sz="4" w:space="0" w:color="000000"/>
            </w:tcBorders>
            <w:shd w:val="clear" w:color="auto" w:fill="auto"/>
            <w:vAlign w:val="top"/>
          </w:tcPr>
          <w:p>
            <w:r>
              <w:rPr>
                <w:lang w:eastAsia="ko-KR"/>
                <w:rtl w:val="off"/>
              </w:rPr>
              <w:t>953</w:t>
            </w:r>
          </w:p>
        </w:tc>
        <w:tc>
          <w:tcPr>
            <w:tcW w:w="2259" w:type="dxa"/>
            <w:gridSpan w:val="2"/>
            <w:tcBorders>
              <w:top w:val="single" w:sz="4" w:space="0" w:color="auto"/>
              <w:left w:val="single" w:sz="4" w:space="0" w:color="000000"/>
              <w:bottom w:val="single" w:sz="4" w:space="0" w:color="000000"/>
              <w:right w:val="single" w:sz="4" w:space="0" w:color="000000"/>
            </w:tcBorders>
            <w:shd w:val="clear" w:color="auto" w:fill="auto"/>
            <w:vAlign w:val="top"/>
          </w:tcPr>
          <w:p>
            <w:pPr>
              <w:rPr>
                <w:b/>
                <w:bCs/>
              </w:rPr>
            </w:pPr>
            <w:r>
              <w:rPr>
                <w:lang w:eastAsia="ko-KR"/>
                <w:b/>
                <w:bCs/>
                <w:rtl w:val="off"/>
              </w:rPr>
              <w:t>Negative</w:t>
            </w:r>
          </w:p>
        </w:tc>
        <w:tc>
          <w:tcPr>
            <w:tcW w:w="1129" w:type="dxa"/>
            <w:tcBorders>
              <w:top w:val="single" w:sz="4" w:space="0" w:color="auto"/>
              <w:left w:val="single" w:sz="4" w:space="0" w:color="000000"/>
              <w:bottom w:val="single" w:sz="4" w:space="0" w:color="000000"/>
              <w:right w:val="single" w:sz="4" w:space="0" w:color="000000"/>
            </w:tcBorders>
            <w:shd w:val="clear" w:color="auto" w:fill="auto"/>
            <w:vAlign w:val="top"/>
          </w:tcPr>
          <w:p>
            <w:r>
              <w:rPr>
                <w:lang w:eastAsia="ko-KR"/>
                <w:rtl w:val="off"/>
              </w:rPr>
              <w:t>4,859</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pPr>
      <w:r>
        <w:t xml:space="preserve">Table </w:t>
      </w:r>
      <w:r>
        <w:fldChar w:fldCharType="begin"/>
      </w:r>
      <w:r>
        <w:instrText xml:space="preserve"> SEQ Table \* ARABIC</w:instrText>
      </w:r>
      <w:r>
        <w:fldChar w:fldCharType="separate"/>
      </w:r>
      <w:r>
        <w:t>2</w:t>
      </w:r>
      <w:r>
        <w:fldChar w:fldCharType="end"/>
      </w:r>
      <w:r>
        <w:rPr>
          <w:lang w:eastAsia="ko-KR"/>
          <w:rtl w:val="off"/>
        </w:rPr>
        <w:t>. Overview of the datasets (Acute Oral Toxicity)</w:t>
      </w:r>
    </w:p>
    <w:p>
      <w:pPr>
        <w:adjustRightInd/>
        <w:pStyle w:val="a3145781"/>
        <w:ind w:leftChars="0" w:left="360" w:rightChars="0" w:right="0" w:firstLineChars="0" w:firstLine="-36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최종적으로 수집된 데이터는 8,634개로, 3,800개의 AMES Negative 데이터와 4,834개의 AMES Positive 데이터를 포함한다.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4,834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3,800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8,634</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전체 데이터에 대하여 Canonicalization을 진행하였으며, 이를 기준으로 중복을 제거하였다. 또한 class가 서로 다른 데이터 2개를 추가로 제거하여 최종적으로 5,823개의 Negative와 8,464개의 Positive를 합하여 총 14,287개의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180" distR="180">
            <wp:extent cx="4320540" cy="12097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1</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빈 subset에 feature를 하나씩 추가하면서, 해당 feature가 추가되었을 때의 accuracy가 증가하거나 유지되었을 때만 feature를 추가하고, 그 외의 경우에는 제외시키는 방식을 사용하였다. 해당 accuracy는 5-fold cross validation에 의해 검증되었으며, 연산속도의 향상을 위하여 MPI(Message Passing Interface)를 이용하였다. MPI는 전체 연산을 분산하여 연결된 CPU 혹은 thread로 보내어 처리 후, 다시 처리 결과를 하나의 thread로 모으는 것이다.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180" distR="180">
            <wp:extent cx="4320540" cy="424853"/>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424853"/>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180" distR="180">
            <wp:extent cx="4320540" cy="1281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3</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Hashing 방식으로 만들어지는 Fingerprints의 경우, 잘못된 Feature를 골라내면 임의의 Molecule이 입력되었을 때 On으로 표시된 bit가 의도치 않게 제거될 수 있으므로, Descriptor에 대해서만 Feature Selection을 진행하였다.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각 Descriptor에 대해 one-way ANOVA를 이용하여 p-value를 계산하였다. p-value &lt; 0.05인 경우만을 통계적으로 유효한 값이라고 판단하여 기존 208개의 Descriptor 중 122개를 선별하였다.</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여섯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Evaluation metric으로는 서로 다른 세 가지의 classification performance indicator</w:t>
      </w:r>
      <w:r>
        <w:rPr>
          <w:rStyle w:val="a7"/>
          <w:lang w:eastAsia="ko-KR"/>
          <w:rFonts w:hint="eastAsia"/>
          <w:b w:val="0"/>
          <w:bCs w:val="0"/>
          <w:sz w:val="20"/>
          <w:szCs w:val="22"/>
          <w:rtl w:val="off"/>
        </w:rPr>
        <w:footnoteReference w:id="8"/>
      </w:r>
      <w:r>
        <w:rPr>
          <w:lang w:eastAsia="ko-KR"/>
          <w:rFonts w:hint="eastAsia"/>
          <w:b w:val="0"/>
          <w:bCs w:val="0"/>
          <w:sz w:val="20"/>
          <w:szCs w:val="22"/>
          <w:rtl w:val="off"/>
        </w:rPr>
        <w:t>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Sensitivity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Recall이라고도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Sensitivity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 Specificity (True Negative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Negative 대비 True Negative의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Specificity = </m:t>
          </m:r>
          <m:f>
            <m:fPr>
              <m:ctrlPr>
                <w:rPr>
                  <w:rFonts w:ascii="Cambria Math" w:hAnsi="Cambria Math"/>
                </w:rPr>
              </m:ctrlPr>
            </m:fPr>
            <m:num>
              <m:r>
                <w:rPr>
                  <w:lang w:eastAsia="ko-KR"/>
                  <w:rFonts w:ascii="Cambria Math" w:hAnsi="Cambria Math"/>
                  <w:rtl w:val="off"/>
                </w:rPr>
                <m:t>TN</m:t>
              </m:r>
            </m:num>
            <m:den>
              <m:r>
                <w:rPr>
                  <w:lang w:eastAsia="ko-KR"/>
                  <w:rFonts w:ascii="Cambria Math" w:hAnsi="Cambria Math"/>
                  <w:rtl w:val="off"/>
                </w:rPr>
                <m:t>TN + 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Negative로 예측한 값들 중 True Negative(TN)의 비율로, 모델의 Negative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Sensitivity와 Specificity의 산술평균으로 1에 가까울수록 좋은 성능을 보인다고 할 수 있으며, Dataset이 Imbalance한 경우에 Accuracy보다 더 높은 신뢰성을 가지고 활용할 수 있는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Sensitivity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Logistic Regression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Decision Tree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Random Forest</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k-Nearest Neighbor (k-NN)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Naive Bayesian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Support Vector Machine (SVM)</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Decision Tree / Random Forest / k-NN / Naive Bayesian / SVM</w:t>
      </w:r>
    </w:p>
  </w:footnote>
  <w:footnote w:id="8">
    <w:p>
      <w:pPr>
        <w:pStyle w:val="a8"/>
        <w:rPr/>
      </w:pPr>
      <w:r>
        <w:rPr>
          <w:rStyle w:val="a7"/>
          <w:sz w:val="14"/>
          <w:szCs w:val="16"/>
        </w:rPr>
        <w:footnoteRef/>
      </w:r>
      <w:r>
        <w:rPr>
          <w:sz w:val="14"/>
          <w:szCs w:val="16"/>
        </w:rPr>
        <w:t xml:space="preserve"> </w:t>
      </w:r>
      <w:r>
        <w:rPr>
          <w:lang w:eastAsia="ko-KR"/>
          <w:sz w:val="14"/>
          <w:szCs w:val="16"/>
          <w:rtl w:val="off"/>
        </w:rPr>
        <w:t>Su et al,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footnotes" Target="footnotes.xml"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numbering" Target="numbering.xml" /><Relationship Id="rId10"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2021-08-05T09:26:43Z</dcterms:modified>
  <cp:version>1000.0100.01</cp:version>
</cp:coreProperties>
</file>