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750" w:rsidRPr="007D5750" w:rsidRDefault="007D5750" w:rsidP="007D5750">
      <w:pPr>
        <w:widowControl/>
        <w:shd w:val="clear" w:color="auto" w:fill="FFFFFF"/>
        <w:spacing w:line="360" w:lineRule="atLeast"/>
        <w:jc w:val="left"/>
        <w:rPr>
          <w:rFonts w:ascii="Helvetica" w:eastAsia="宋体" w:hAnsi="Helvetica" w:cs="Helvetica"/>
          <w:color w:val="333333"/>
          <w:kern w:val="0"/>
          <w:szCs w:val="21"/>
        </w:rPr>
      </w:pPr>
      <w:r w:rsidRPr="007D5750">
        <w:rPr>
          <w:rFonts w:ascii="微软雅黑" w:eastAsia="微软雅黑" w:hAnsi="微软雅黑" w:cs="Helvetica" w:hint="eastAsia"/>
          <w:b/>
          <w:bCs/>
          <w:color w:val="333333"/>
          <w:kern w:val="0"/>
          <w:sz w:val="27"/>
          <w:szCs w:val="27"/>
        </w:rPr>
        <w:t>赛题背景：</w:t>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color w:val="333333"/>
          <w:kern w:val="0"/>
          <w:szCs w:val="21"/>
        </w:rPr>
        <w:t>    “十三五”是汽车工业发展的新时期，经济形势复杂多变，汽车产业政策频出，因此准确预测汽车销量对于政府和企业都具有极其重要的现实意义。分区域的销量预测有利于各地政府准确地把握汽车市场发育与成长态势，及时调整宏观行业政策，同时有助于行业监管部门对汽车厂商实现产能监控。对于企业，在市场环境瞬息万变的信息时代，需要充分了解消费者诉求，预见市场未来的需求量和可能存在的销售变化趋势，合理规划产能，正确制定生产计划，实施以销定产的生产策略。</w:t>
      </w:r>
      <w:r w:rsidRPr="007D5750">
        <w:rPr>
          <w:rFonts w:ascii="微软雅黑" w:eastAsia="微软雅黑" w:hAnsi="微软雅黑" w:cs="Helvetica" w:hint="eastAsia"/>
          <w:color w:val="333333"/>
          <w:kern w:val="0"/>
          <w:szCs w:val="21"/>
        </w:rPr>
        <w:br/>
        <w:t>    现有汽车销量预测研究大多是宏观预测，预测对象是整个市场的总体销量，预测粒度宽泛。对于政府、行业监管部门以及汽车企业需要有更细化粒度的销量预测解决方案。</w:t>
      </w:r>
      <w:r w:rsidRPr="007D5750">
        <w:rPr>
          <w:rFonts w:ascii="微软雅黑" w:eastAsia="微软雅黑" w:hAnsi="微软雅黑" w:cs="Helvetica" w:hint="eastAsia"/>
          <w:color w:val="333333"/>
          <w:kern w:val="0"/>
          <w:sz w:val="27"/>
          <w:szCs w:val="27"/>
        </w:rPr>
        <w:br/>
      </w:r>
      <w:r w:rsidRPr="007D5750">
        <w:rPr>
          <w:rFonts w:ascii="微软雅黑" w:eastAsia="微软雅黑" w:hAnsi="微软雅黑" w:cs="Helvetica" w:hint="eastAsia"/>
          <w:color w:val="333333"/>
          <w:kern w:val="0"/>
          <w:sz w:val="27"/>
          <w:szCs w:val="27"/>
        </w:rPr>
        <w:br/>
      </w:r>
      <w:r w:rsidRPr="007D5750">
        <w:rPr>
          <w:rFonts w:ascii="微软雅黑" w:eastAsia="微软雅黑" w:hAnsi="微软雅黑" w:cs="Helvetica" w:hint="eastAsia"/>
          <w:b/>
          <w:bCs/>
          <w:color w:val="333333"/>
          <w:kern w:val="0"/>
          <w:sz w:val="27"/>
          <w:szCs w:val="27"/>
        </w:rPr>
        <w:t>初赛介绍：</w:t>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t>初赛提供2012年1月-2017年10月盐城分车型销量配置数据，  </w:t>
      </w:r>
      <w:r w:rsidRPr="007D5750">
        <w:rPr>
          <w:rFonts w:ascii="微软雅黑" w:eastAsia="微软雅黑" w:hAnsi="微软雅黑" w:cs="Helvetica" w:hint="eastAsia"/>
          <w:color w:val="333333"/>
          <w:kern w:val="0"/>
          <w:szCs w:val="21"/>
          <w:shd w:val="clear" w:color="auto" w:fill="FFFFFF"/>
        </w:rPr>
        <w:t>参赛者允许使用任何可公开的外部数据辅助预测。</w:t>
      </w:r>
      <w:r w:rsidRPr="007D5750">
        <w:rPr>
          <w:rFonts w:ascii="微软雅黑" w:eastAsia="微软雅黑" w:hAnsi="微软雅黑" w:cs="Helvetica" w:hint="eastAsia"/>
          <w:color w:val="333333"/>
          <w:kern w:val="0"/>
          <w:szCs w:val="21"/>
        </w:rPr>
        <w:t> </w:t>
      </w:r>
      <w:r w:rsidRPr="007D5750">
        <w:rPr>
          <w:rFonts w:ascii="微软雅黑" w:eastAsia="微软雅黑" w:hAnsi="微软雅黑" w:cs="Helvetica" w:hint="eastAsia"/>
          <w:color w:val="333333"/>
          <w:kern w:val="0"/>
          <w:szCs w:val="21"/>
        </w:rPr>
        <w:br/>
        <w:t>初赛</w:t>
      </w:r>
      <w:r w:rsidRPr="007D5750">
        <w:rPr>
          <w:rFonts w:ascii="微软雅黑" w:eastAsia="微软雅黑" w:hAnsi="微软雅黑" w:cs="Helvetica" w:hint="eastAsia"/>
          <w:color w:val="333333"/>
          <w:kern w:val="0"/>
          <w:szCs w:val="21"/>
          <w:shd w:val="clear" w:color="auto" w:fill="FFFFFF"/>
        </w:rPr>
        <w:t>分为两个阶段，</w:t>
      </w:r>
      <w:r w:rsidRPr="007D5750">
        <w:rPr>
          <w:rFonts w:ascii="微软雅黑" w:eastAsia="微软雅黑" w:hAnsi="微软雅黑" w:cs="Helvetica" w:hint="eastAsia"/>
          <w:color w:val="333333"/>
          <w:kern w:val="0"/>
          <w:szCs w:val="21"/>
        </w:rPr>
        <w:t>第一阶段需要参赛者预测2017年11月盐城分车型销量数据，第二阶段需要参赛者预测2017年12月盐城分车型销量数据。</w:t>
      </w:r>
      <w:r w:rsidRPr="007D5750">
        <w:rPr>
          <w:rFonts w:ascii="微软雅黑" w:eastAsia="微软雅黑" w:hAnsi="微软雅黑" w:cs="Helvetica" w:hint="eastAsia"/>
          <w:color w:val="333333"/>
          <w:kern w:val="0"/>
          <w:szCs w:val="21"/>
        </w:rPr>
        <w:br/>
        <w:t>第一阶段评测时间：2018年1月15日-2月25日</w:t>
      </w:r>
      <w:r w:rsidRPr="007D5750">
        <w:rPr>
          <w:rFonts w:ascii="微软雅黑" w:eastAsia="微软雅黑" w:hAnsi="微软雅黑" w:cs="Helvetica" w:hint="eastAsia"/>
          <w:color w:val="333333"/>
          <w:kern w:val="0"/>
          <w:szCs w:val="21"/>
        </w:rPr>
        <w:br/>
        <w:t>第二阶段评测时间：2018年2月26日-2月27日</w:t>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t>数据时长：2012年1月 至 2017年10月</w:t>
      </w:r>
      <w:r w:rsidRPr="007D5750">
        <w:rPr>
          <w:rFonts w:ascii="微软雅黑" w:eastAsia="微软雅黑" w:hAnsi="微软雅黑" w:cs="Helvetica" w:hint="eastAsia"/>
          <w:color w:val="333333"/>
          <w:kern w:val="0"/>
          <w:szCs w:val="21"/>
        </w:rPr>
        <w:br/>
      </w:r>
    </w:p>
    <w:tbl>
      <w:tblPr>
        <w:tblW w:w="810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841"/>
        <w:gridCol w:w="2629"/>
        <w:gridCol w:w="2630"/>
      </w:tblGrid>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color w:val="333333"/>
                <w:kern w:val="0"/>
                <w:szCs w:val="21"/>
              </w:rPr>
            </w:pPr>
            <w:r w:rsidRPr="007D5750">
              <w:rPr>
                <w:rFonts w:ascii="等线" w:eastAsia="等线" w:hAnsi="等线" w:cs="Helvetica" w:hint="eastAsia"/>
                <w:b/>
                <w:bCs/>
                <w:color w:val="333333"/>
                <w:kern w:val="0"/>
                <w:sz w:val="20"/>
                <w:szCs w:val="20"/>
              </w:rPr>
              <w:t>字段</w:t>
            </w:r>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含义</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示例</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lastRenderedPageBreak/>
              <w:t>sale_date</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销售日期</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201201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class_id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234567</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sale_quantity</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销量</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brand_id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品牌ID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234</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compartment</w:t>
            </w:r>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gramStart"/>
            <w:r w:rsidRPr="007D5750">
              <w:rPr>
                <w:rFonts w:ascii="等线" w:eastAsia="等线" w:hAnsi="等线" w:cs="Helvetica" w:hint="eastAsia"/>
                <w:color w:val="000000"/>
                <w:kern w:val="0"/>
                <w:sz w:val="20"/>
                <w:szCs w:val="20"/>
              </w:rPr>
              <w:t>厢数</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3</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type_id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车型类别ID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level_id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车型级别ID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department_id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车型系别ID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TR</w:t>
            </w:r>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变速器档位</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6</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gearbox_type</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变速器形式</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AT</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displacement</w:t>
            </w:r>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排量</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if_charging</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是否增压</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L</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price_level</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成交段</w:t>
            </w:r>
            <w:r w:rsidRPr="007D5750">
              <w:rPr>
                <w:rFonts w:ascii="等线" w:eastAsia="等线" w:hAnsi="等线" w:cs="Helvetica" w:hint="eastAsia"/>
                <w:color w:val="000000"/>
                <w:kern w:val="0"/>
                <w:sz w:val="20"/>
                <w:szCs w:val="20"/>
              </w:rPr>
              <w:br/>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35-50W（“W”：万元，“WL”：万元以下）</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driven_type_id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驱动形式ID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fuel_type_id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燃料种类ID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newenergy_type_id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新能源类型ID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emission_standards_id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排放标准ID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if_MPV_id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gramStart"/>
            <w:r w:rsidRPr="007D5750">
              <w:rPr>
                <w:rFonts w:ascii="等线" w:eastAsia="等线" w:hAnsi="等线" w:cs="Helvetica" w:hint="eastAsia"/>
                <w:color w:val="000000"/>
                <w:kern w:val="0"/>
                <w:sz w:val="20"/>
                <w:szCs w:val="20"/>
              </w:rPr>
              <w:t>是否微客</w:t>
            </w:r>
            <w:proofErr w:type="gramEnd"/>
            <w:r w:rsidRPr="007D5750">
              <w:rPr>
                <w:rFonts w:ascii="等线" w:eastAsia="等线" w:hAnsi="等线" w:cs="Helvetica" w:hint="eastAsia"/>
                <w:color w:val="000000"/>
                <w:kern w:val="0"/>
                <w:sz w:val="20"/>
                <w:szCs w:val="20"/>
              </w:rPr>
              <w:t>MPV</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if_luxurious_id</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是否豪华ID</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power</w:t>
            </w:r>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功率</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160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cylinder_number</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缸数</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6</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engine_torque</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发动机扭矩</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250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car_length</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车长</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4531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car_width</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车宽</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1817</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car_height</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车高</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1421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total_quality</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总质量</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1980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equipment_quality</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整备质量</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1565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rated_passenger</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额定载客</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wheelbase</w:t>
            </w:r>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轴距</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2760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front_track</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前轮距</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1500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rear_track</w:t>
            </w:r>
            <w:proofErr w:type="spellEnd"/>
          </w:p>
        </w:tc>
        <w:tc>
          <w:tcPr>
            <w:tcW w:w="20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后轮距</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1529</w:t>
            </w:r>
          </w:p>
        </w:tc>
      </w:tr>
    </w:tbl>
    <w:p w:rsidR="007D5750" w:rsidRPr="007D5750" w:rsidRDefault="007D5750" w:rsidP="007D5750">
      <w:pPr>
        <w:widowControl/>
        <w:shd w:val="clear" w:color="auto" w:fill="FFFFFF"/>
        <w:spacing w:line="360" w:lineRule="atLeast"/>
        <w:jc w:val="left"/>
        <w:rPr>
          <w:rFonts w:ascii="Helvetica" w:eastAsia="宋体" w:hAnsi="Helvetica" w:cs="Helvetica" w:hint="eastAsia"/>
          <w:color w:val="333333"/>
          <w:kern w:val="0"/>
          <w:szCs w:val="21"/>
        </w:rPr>
      </w:pPr>
      <w:r w:rsidRPr="007D5750">
        <w:rPr>
          <w:rFonts w:ascii="微软雅黑" w:eastAsia="微软雅黑" w:hAnsi="微软雅黑" w:cs="Helvetica" w:hint="eastAsia"/>
          <w:color w:val="333333"/>
          <w:kern w:val="0"/>
          <w:szCs w:val="21"/>
        </w:rPr>
        <w:br/>
      </w:r>
    </w:p>
    <w:p w:rsidR="007D5750" w:rsidRPr="007D5750" w:rsidRDefault="007D5750" w:rsidP="007D5750">
      <w:pPr>
        <w:widowControl/>
        <w:shd w:val="clear" w:color="auto" w:fill="FFFFFF"/>
        <w:spacing w:line="360" w:lineRule="atLeast"/>
        <w:jc w:val="left"/>
        <w:rPr>
          <w:rFonts w:ascii="Helvetica" w:eastAsia="宋体" w:hAnsi="Helvetica" w:cs="Helvetica"/>
          <w:color w:val="333333"/>
          <w:kern w:val="0"/>
          <w:szCs w:val="21"/>
        </w:rPr>
      </w:pPr>
      <w:r w:rsidRPr="007D5750">
        <w:rPr>
          <w:rFonts w:ascii="微软雅黑" w:eastAsia="微软雅黑" w:hAnsi="微软雅黑" w:cs="Helvetica" w:hint="eastAsia"/>
          <w:color w:val="333333"/>
          <w:kern w:val="0"/>
          <w:szCs w:val="21"/>
        </w:rPr>
        <w:lastRenderedPageBreak/>
        <w:t>1)   参赛者需提交的结果数据</w:t>
      </w:r>
      <w:r w:rsidRPr="007D5750">
        <w:rPr>
          <w:rFonts w:ascii="微软雅黑" w:eastAsia="微软雅黑" w:hAnsi="微软雅黑" w:cs="Helvetica" w:hint="eastAsia"/>
          <w:color w:val="333333"/>
          <w:kern w:val="0"/>
          <w:szCs w:val="21"/>
        </w:rPr>
        <w:br/>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74"/>
        <w:gridCol w:w="2074"/>
        <w:gridCol w:w="2074"/>
      </w:tblGrid>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color w:val="333333"/>
                <w:kern w:val="0"/>
                <w:szCs w:val="21"/>
              </w:rPr>
            </w:pPr>
            <w:r w:rsidRPr="007D5750">
              <w:rPr>
                <w:rFonts w:ascii="等线" w:eastAsia="等线" w:hAnsi="等线" w:cs="Helvetica" w:hint="eastAsia"/>
                <w:b/>
                <w:bCs/>
                <w:color w:val="333333"/>
                <w:kern w:val="0"/>
                <w:sz w:val="20"/>
                <w:szCs w:val="20"/>
              </w:rPr>
              <w:t>字段</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含义</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示例</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predict_date</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预测日期</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201711</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class</w:t>
            </w:r>
            <w:r w:rsidRPr="007D5750">
              <w:rPr>
                <w:rFonts w:ascii="等线" w:eastAsia="等线" w:hAnsi="等线" w:cs="Helvetica" w:hint="eastAsia"/>
                <w:color w:val="000000"/>
                <w:kern w:val="0"/>
                <w:sz w:val="20"/>
                <w:szCs w:val="20"/>
              </w:rPr>
              <w:t>_id</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车型ID</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123456</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predict_</w:t>
            </w:r>
            <w:r w:rsidRPr="007D5750">
              <w:rPr>
                <w:rFonts w:ascii="等线" w:eastAsia="等线" w:hAnsi="等线" w:cs="Helvetica" w:hint="eastAsia"/>
                <w:color w:val="000000"/>
                <w:kern w:val="0"/>
                <w:sz w:val="20"/>
                <w:szCs w:val="20"/>
              </w:rPr>
              <w:t>quantity</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预测销量</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1234</w:t>
            </w:r>
          </w:p>
        </w:tc>
      </w:tr>
    </w:tbl>
    <w:p w:rsidR="007D5750" w:rsidRPr="007D5750" w:rsidRDefault="007D5750" w:rsidP="007D5750">
      <w:pPr>
        <w:widowControl/>
        <w:shd w:val="clear" w:color="auto" w:fill="FFFFFF"/>
        <w:spacing w:line="360" w:lineRule="atLeast"/>
        <w:jc w:val="left"/>
        <w:rPr>
          <w:rFonts w:ascii="Helvetica" w:eastAsia="宋体" w:hAnsi="Helvetica" w:cs="Helvetica" w:hint="eastAsia"/>
          <w:color w:val="333333"/>
          <w:kern w:val="0"/>
          <w:szCs w:val="21"/>
        </w:rPr>
      </w:pP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b/>
          <w:bCs/>
          <w:color w:val="333333"/>
          <w:kern w:val="0"/>
          <w:szCs w:val="21"/>
        </w:rPr>
        <w:t>初赛结果评价指标：</w:t>
      </w:r>
      <w:r w:rsidRPr="007D5750">
        <w:rPr>
          <w:rFonts w:ascii="微软雅黑" w:eastAsia="微软雅黑" w:hAnsi="微软雅黑" w:cs="Helvetica" w:hint="eastAsia"/>
          <w:color w:val="333333"/>
          <w:kern w:val="0"/>
          <w:szCs w:val="21"/>
        </w:rPr>
        <w:br/>
        <w:t>主办方将依据参赛者提供的最终预测结果进行评价，评价指标的计算公式为：</w:t>
      </w:r>
    </w:p>
    <w:p w:rsidR="007D5750" w:rsidRPr="007D5750" w:rsidRDefault="007D5750" w:rsidP="007D5750">
      <w:pPr>
        <w:widowControl/>
        <w:shd w:val="clear" w:color="auto" w:fill="FFFFFF"/>
        <w:spacing w:line="360" w:lineRule="atLeast"/>
        <w:jc w:val="left"/>
        <w:rPr>
          <w:rFonts w:ascii="Helvetica" w:eastAsia="宋体" w:hAnsi="Helvetica" w:cs="Helvetica"/>
          <w:color w:val="333333"/>
          <w:kern w:val="0"/>
          <w:szCs w:val="21"/>
        </w:rPr>
      </w:pP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noProof/>
          <w:color w:val="333333"/>
          <w:kern w:val="0"/>
          <w:szCs w:val="21"/>
        </w:rPr>
        <w:drawing>
          <wp:inline distT="0" distB="0" distL="0" distR="0">
            <wp:extent cx="3124835" cy="2576195"/>
            <wp:effectExtent l="0" t="0" r="0" b="0"/>
            <wp:docPr id="2" name="图片 2" descr="https://work.alibaba-inc.com/aliwork_tfs/g01_alibaba-inc_com/tfscom/TB1Nfs.jnnI8KJjSszbXXb4KFXa.tfs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alibaba-inc.com/aliwork_tfs/g01_alibaba-inc_com/tfscom/TB1Nfs.jnnI8KJjSszbXXb4KFXa.tfspriv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835" cy="2576195"/>
                    </a:xfrm>
                    <a:prstGeom prst="rect">
                      <a:avLst/>
                    </a:prstGeom>
                    <a:noFill/>
                    <a:ln>
                      <a:noFill/>
                    </a:ln>
                  </pic:spPr>
                </pic:pic>
              </a:graphicData>
            </a:graphic>
          </wp:inline>
        </w:drawing>
      </w:r>
    </w:p>
    <w:p w:rsidR="007D5750" w:rsidRPr="007D5750" w:rsidRDefault="007D5750" w:rsidP="007D5750">
      <w:pPr>
        <w:widowControl/>
        <w:shd w:val="clear" w:color="auto" w:fill="FFFFFF"/>
        <w:spacing w:line="360" w:lineRule="atLeast"/>
        <w:jc w:val="left"/>
        <w:rPr>
          <w:rFonts w:ascii="Helvetica" w:eastAsia="宋体" w:hAnsi="Helvetica" w:cs="Helvetica"/>
          <w:color w:val="333333"/>
          <w:kern w:val="0"/>
          <w:szCs w:val="21"/>
        </w:rPr>
      </w:pP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lastRenderedPageBreak/>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b/>
          <w:bCs/>
          <w:color w:val="333333"/>
          <w:kern w:val="0"/>
          <w:sz w:val="27"/>
          <w:szCs w:val="27"/>
        </w:rPr>
        <w:br/>
        <w:t>复赛介绍：</w:t>
      </w:r>
      <w:r w:rsidRPr="007D5750">
        <w:rPr>
          <w:rFonts w:ascii="微软雅黑" w:eastAsia="微软雅黑" w:hAnsi="微软雅黑" w:cs="Helvetica" w:hint="eastAsia"/>
          <w:b/>
          <w:bCs/>
          <w:color w:val="333333"/>
          <w:kern w:val="0"/>
          <w:sz w:val="27"/>
          <w:szCs w:val="27"/>
        </w:rPr>
        <w:br/>
      </w:r>
      <w:r w:rsidRPr="007D5750">
        <w:rPr>
          <w:rFonts w:ascii="微软雅黑" w:eastAsia="微软雅黑" w:hAnsi="微软雅黑" w:cs="Helvetica" w:hint="eastAsia"/>
          <w:color w:val="333333"/>
          <w:kern w:val="0"/>
          <w:szCs w:val="21"/>
        </w:rPr>
        <w:br/>
        <w:t>复赛将提供2012年1月-2017年12月全国分城市分车型销量配置数据、全国整体车型产量数据、全国宏观经济月度数据。</w:t>
      </w:r>
      <w:r w:rsidRPr="007D5750">
        <w:rPr>
          <w:rFonts w:ascii="微软雅黑" w:eastAsia="微软雅黑" w:hAnsi="微软雅黑" w:cs="Helvetica" w:hint="eastAsia"/>
          <w:color w:val="333333"/>
          <w:kern w:val="0"/>
          <w:szCs w:val="21"/>
          <w:shd w:val="clear" w:color="auto" w:fill="FFFFFF"/>
        </w:rPr>
        <w:t>参赛者允许使用任何可公开的外部数据辅助预测。</w:t>
      </w:r>
      <w:r w:rsidRPr="007D5750">
        <w:rPr>
          <w:rFonts w:ascii="微软雅黑" w:eastAsia="微软雅黑" w:hAnsi="微软雅黑" w:cs="Helvetica" w:hint="eastAsia"/>
          <w:color w:val="333333"/>
          <w:kern w:val="0"/>
          <w:szCs w:val="21"/>
        </w:rPr>
        <w:t> </w:t>
      </w:r>
      <w:r w:rsidRPr="007D5750">
        <w:rPr>
          <w:rFonts w:ascii="微软雅黑" w:eastAsia="微软雅黑" w:hAnsi="微软雅黑" w:cs="Helvetica" w:hint="eastAsia"/>
          <w:color w:val="333333"/>
          <w:kern w:val="0"/>
          <w:szCs w:val="21"/>
        </w:rPr>
        <w:br/>
        <w:t>复赛分为两个阶段，第一阶段预测2018年1月全国分城市分车型销量数据。第二阶段预测2018年2月全国分城市分车型销量数据。</w:t>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shd w:val="clear" w:color="auto" w:fill="FFFFFF"/>
        </w:rPr>
        <w:t>第一阶段评测时间：2018年3月1日-3月12日</w:t>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shd w:val="clear" w:color="auto" w:fill="FFFFFF"/>
        </w:rPr>
        <w:t>第二阶段评测时间：2018年3月15日</w:t>
      </w:r>
      <w:r w:rsidRPr="007D5750">
        <w:rPr>
          <w:rFonts w:ascii="微软雅黑" w:eastAsia="微软雅黑" w:hAnsi="微软雅黑" w:cs="Helvetica" w:hint="eastAsia"/>
          <w:color w:val="333333"/>
          <w:kern w:val="0"/>
          <w:szCs w:val="21"/>
        </w:rPr>
        <w:t> </w:t>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t>1)   全国分城市分车型零售数据字段</w:t>
      </w:r>
      <w:r w:rsidRPr="007D5750">
        <w:rPr>
          <w:rFonts w:ascii="微软雅黑" w:eastAsia="微软雅黑" w:hAnsi="微软雅黑" w:cs="Helvetica" w:hint="eastAsia"/>
          <w:color w:val="333333"/>
          <w:kern w:val="0"/>
          <w:szCs w:val="21"/>
        </w:rPr>
        <w:br/>
        <w:t>数据时长：2012年1月 至 2017年12月</w:t>
      </w:r>
      <w:r w:rsidRPr="007D5750">
        <w:rPr>
          <w:rFonts w:ascii="微软雅黑" w:eastAsia="微软雅黑" w:hAnsi="微软雅黑" w:cs="Helvetica" w:hint="eastAsia"/>
          <w:color w:val="333333"/>
          <w:kern w:val="0"/>
          <w:szCs w:val="21"/>
        </w:rPr>
        <w:br/>
      </w:r>
    </w:p>
    <w:tbl>
      <w:tblPr>
        <w:tblW w:w="796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810"/>
        <w:gridCol w:w="2575"/>
        <w:gridCol w:w="2580"/>
      </w:tblGrid>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color w:val="333333"/>
                <w:kern w:val="0"/>
                <w:szCs w:val="21"/>
              </w:rPr>
            </w:pPr>
            <w:r w:rsidRPr="007D5750">
              <w:rPr>
                <w:rFonts w:ascii="等线" w:eastAsia="等线" w:hAnsi="等线" w:cs="Helvetica" w:hint="eastAsia"/>
                <w:b/>
                <w:bCs/>
                <w:color w:val="333333"/>
                <w:kern w:val="0"/>
                <w:sz w:val="20"/>
                <w:szCs w:val="20"/>
              </w:rPr>
              <w:t>字段</w:t>
            </w:r>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含义</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示例</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sale_date</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销售日期</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201201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province_id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销售省份ID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345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city_id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销售城市ID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3456</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class_id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234567</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sale_quantity</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销量</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lastRenderedPageBreak/>
              <w:t>brand_id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品牌ID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234</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compartment</w:t>
            </w:r>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gramStart"/>
            <w:r w:rsidRPr="007D5750">
              <w:rPr>
                <w:rFonts w:ascii="等线" w:eastAsia="等线" w:hAnsi="等线" w:cs="Helvetica" w:hint="eastAsia"/>
                <w:color w:val="000000"/>
                <w:kern w:val="0"/>
                <w:sz w:val="20"/>
                <w:szCs w:val="20"/>
              </w:rPr>
              <w:t>厢数</w:t>
            </w:r>
            <w:proofErr w:type="gramEnd"/>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3</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type_id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车型类别ID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level_id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车型级别ID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department_id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车型系别ID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TR</w:t>
            </w:r>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变速器档位</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6</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gearbox_type</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变速器形式</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AT</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displacement</w:t>
            </w:r>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排量</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if_charging</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是否增压</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L</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price_level</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成交段</w:t>
            </w:r>
            <w:r w:rsidRPr="007D5750">
              <w:rPr>
                <w:rFonts w:ascii="等线" w:eastAsia="等线" w:hAnsi="等线" w:cs="Helvetica" w:hint="eastAsia"/>
                <w:color w:val="000000"/>
                <w:kern w:val="0"/>
                <w:sz w:val="20"/>
                <w:szCs w:val="20"/>
              </w:rPr>
              <w:br/>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35-50W（“W”：万元，“WL”：万元以下）</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driven_type_id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驱动形式ID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fuel_type_id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燃料种类ID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newenergy_type_id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新能源类型ID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emission_standards_id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排放标准ID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if_MPV_id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gramStart"/>
            <w:r w:rsidRPr="007D5750">
              <w:rPr>
                <w:rFonts w:ascii="等线" w:eastAsia="等线" w:hAnsi="等线" w:cs="Helvetica" w:hint="eastAsia"/>
                <w:color w:val="000000"/>
                <w:kern w:val="0"/>
                <w:sz w:val="20"/>
                <w:szCs w:val="20"/>
              </w:rPr>
              <w:t>是否微客</w:t>
            </w:r>
            <w:proofErr w:type="gramEnd"/>
            <w:r w:rsidRPr="007D5750">
              <w:rPr>
                <w:rFonts w:ascii="等线" w:eastAsia="等线" w:hAnsi="等线" w:cs="Helvetica" w:hint="eastAsia"/>
                <w:color w:val="000000"/>
                <w:kern w:val="0"/>
                <w:sz w:val="20"/>
                <w:szCs w:val="20"/>
              </w:rPr>
              <w:t>MPV</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if_luxurious_id</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是否豪华ID</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power</w:t>
            </w:r>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功率</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160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cylinder_number</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缸数</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6</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engine_torque</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发动机扭矩</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250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car_length</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车长</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4531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car_width</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车宽</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1817</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car_height</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车高</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1421</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total_quality</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总质量</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1980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equipment_quality</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整备质量</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1565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rated_passenger</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额定载客</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5</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wheelbase</w:t>
            </w:r>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轴距</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2760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front_track</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前轮距</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1500</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rear_track</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后轮距</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1529</w:t>
            </w:r>
          </w:p>
        </w:tc>
      </w:tr>
      <w:tr w:rsidR="007D5750" w:rsidRPr="007D5750" w:rsidTr="007D5750">
        <w:trPr>
          <w:trHeight w:val="352"/>
        </w:trPr>
        <w:tc>
          <w:tcPr>
            <w:tcW w:w="2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rear_track</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后轮距</w:t>
            </w:r>
          </w:p>
        </w:tc>
        <w:tc>
          <w:tcPr>
            <w:tcW w:w="20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1529</w:t>
            </w:r>
          </w:p>
        </w:tc>
      </w:tr>
    </w:tbl>
    <w:p w:rsidR="007D5750" w:rsidRPr="007D5750" w:rsidRDefault="007D5750" w:rsidP="007D5750">
      <w:pPr>
        <w:widowControl/>
        <w:shd w:val="clear" w:color="auto" w:fill="FFFFFF"/>
        <w:spacing w:line="360" w:lineRule="atLeast"/>
        <w:jc w:val="left"/>
        <w:rPr>
          <w:rFonts w:ascii="Helvetica" w:eastAsia="宋体" w:hAnsi="Helvetica" w:cs="Helvetica" w:hint="eastAsia"/>
          <w:color w:val="333333"/>
          <w:kern w:val="0"/>
          <w:szCs w:val="21"/>
        </w:rPr>
      </w:pPr>
      <w:r w:rsidRPr="007D5750">
        <w:rPr>
          <w:rFonts w:ascii="微软雅黑" w:eastAsia="微软雅黑" w:hAnsi="微软雅黑" w:cs="Helvetica" w:hint="eastAsia"/>
          <w:color w:val="333333"/>
          <w:kern w:val="0"/>
          <w:szCs w:val="21"/>
        </w:rPr>
        <w:br/>
        <w:t>2)   全国整体车型产量数据</w:t>
      </w:r>
      <w:r w:rsidRPr="007D5750">
        <w:rPr>
          <w:rFonts w:ascii="微软雅黑" w:eastAsia="微软雅黑" w:hAnsi="微软雅黑" w:cs="Helvetica" w:hint="eastAsia"/>
          <w:color w:val="333333"/>
          <w:kern w:val="0"/>
          <w:szCs w:val="21"/>
        </w:rPr>
        <w:br/>
        <w:t>数据时长：2012年1月 至 2017年5月</w:t>
      </w:r>
      <w:r w:rsidRPr="007D5750">
        <w:rPr>
          <w:rFonts w:ascii="微软雅黑" w:eastAsia="微软雅黑" w:hAnsi="微软雅黑" w:cs="Helvetica" w:hint="eastAsia"/>
          <w:color w:val="333333"/>
          <w:kern w:val="0"/>
          <w:szCs w:val="21"/>
        </w:rPr>
        <w:br/>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74"/>
        <w:gridCol w:w="2074"/>
        <w:gridCol w:w="2074"/>
      </w:tblGrid>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color w:val="333333"/>
                <w:kern w:val="0"/>
                <w:szCs w:val="21"/>
              </w:rPr>
            </w:pPr>
            <w:r w:rsidRPr="007D5750">
              <w:rPr>
                <w:rFonts w:ascii="等线" w:eastAsia="等线" w:hAnsi="等线" w:cs="Helvetica" w:hint="eastAsia"/>
                <w:b/>
                <w:bCs/>
                <w:color w:val="333333"/>
                <w:kern w:val="0"/>
                <w:sz w:val="20"/>
                <w:szCs w:val="20"/>
              </w:rPr>
              <w:t>字段</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含义</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示例</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lastRenderedPageBreak/>
              <w:t>produce_date</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生产日期</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201201</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class_id</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车型ID</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123456</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produce_</w:t>
            </w:r>
            <w:r w:rsidRPr="007D5750">
              <w:rPr>
                <w:rFonts w:ascii="等线" w:eastAsia="等线" w:hAnsi="等线" w:cs="Helvetica" w:hint="eastAsia"/>
                <w:color w:val="000000"/>
                <w:kern w:val="0"/>
                <w:sz w:val="20"/>
                <w:szCs w:val="20"/>
              </w:rPr>
              <w:t>quantity</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产量</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9643</w:t>
            </w:r>
          </w:p>
        </w:tc>
      </w:tr>
    </w:tbl>
    <w:p w:rsidR="007D5750" w:rsidRPr="007D5750" w:rsidRDefault="007D5750" w:rsidP="007D5750">
      <w:pPr>
        <w:widowControl/>
        <w:shd w:val="clear" w:color="auto" w:fill="FFFFFF"/>
        <w:spacing w:line="360" w:lineRule="atLeast"/>
        <w:jc w:val="left"/>
        <w:rPr>
          <w:rFonts w:ascii="Helvetica" w:eastAsia="宋体" w:hAnsi="Helvetica" w:cs="Helvetica" w:hint="eastAsia"/>
          <w:color w:val="333333"/>
          <w:kern w:val="0"/>
          <w:szCs w:val="21"/>
        </w:rPr>
      </w:pPr>
      <w:r w:rsidRPr="007D5750">
        <w:rPr>
          <w:rFonts w:ascii="微软雅黑" w:eastAsia="微软雅黑" w:hAnsi="微软雅黑" w:cs="Helvetica" w:hint="eastAsia"/>
          <w:color w:val="333333"/>
          <w:kern w:val="0"/>
          <w:szCs w:val="21"/>
        </w:rPr>
        <w:br/>
        <w:t>3)   全国宏观经济月度数据</w:t>
      </w:r>
      <w:r w:rsidRPr="007D5750">
        <w:rPr>
          <w:rFonts w:ascii="微软雅黑" w:eastAsia="微软雅黑" w:hAnsi="微软雅黑" w:cs="Helvetica" w:hint="eastAsia"/>
          <w:color w:val="333333"/>
          <w:kern w:val="0"/>
          <w:szCs w:val="21"/>
        </w:rPr>
        <w:br/>
        <w:t>数据时长：2012年1月 至 2017年5月</w:t>
      </w:r>
      <w:r w:rsidRPr="007D5750">
        <w:rPr>
          <w:rFonts w:ascii="微软雅黑" w:eastAsia="微软雅黑" w:hAnsi="微软雅黑" w:cs="Helvetica" w:hint="eastAsia"/>
          <w:color w:val="333333"/>
          <w:kern w:val="0"/>
          <w:szCs w:val="21"/>
        </w:rPr>
        <w:br/>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122"/>
        <w:gridCol w:w="1970"/>
        <w:gridCol w:w="2013"/>
      </w:tblGrid>
      <w:tr w:rsidR="007D5750" w:rsidRPr="007D5750" w:rsidTr="007D5750">
        <w:tc>
          <w:tcPr>
            <w:tcW w:w="21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color w:val="333333"/>
                <w:kern w:val="0"/>
                <w:szCs w:val="21"/>
              </w:rPr>
            </w:pPr>
            <w:r w:rsidRPr="007D5750">
              <w:rPr>
                <w:rFonts w:ascii="等线" w:eastAsia="等线" w:hAnsi="等线" w:cs="Helvetica" w:hint="eastAsia"/>
                <w:b/>
                <w:bCs/>
                <w:color w:val="333333"/>
                <w:kern w:val="0"/>
                <w:sz w:val="20"/>
                <w:szCs w:val="20"/>
              </w:rPr>
              <w:t>字段</w:t>
            </w:r>
          </w:p>
        </w:tc>
        <w:tc>
          <w:tcPr>
            <w:tcW w:w="197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含义</w:t>
            </w:r>
          </w:p>
        </w:tc>
        <w:tc>
          <w:tcPr>
            <w:tcW w:w="201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示例</w:t>
            </w:r>
          </w:p>
        </w:tc>
      </w:tr>
      <w:tr w:rsidR="007D5750" w:rsidRPr="007D5750" w:rsidTr="007D5750">
        <w:tc>
          <w:tcPr>
            <w:tcW w:w="21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date</w:t>
            </w:r>
          </w:p>
        </w:tc>
        <w:tc>
          <w:tcPr>
            <w:tcW w:w="197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日期</w:t>
            </w:r>
          </w:p>
        </w:tc>
        <w:tc>
          <w:tcPr>
            <w:tcW w:w="201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2012/3/31</w:t>
            </w:r>
          </w:p>
        </w:tc>
      </w:tr>
      <w:tr w:rsidR="007D5750" w:rsidRPr="007D5750" w:rsidTr="007D5750">
        <w:tc>
          <w:tcPr>
            <w:tcW w:w="21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eco_indicator_type</w:t>
            </w:r>
            <w:proofErr w:type="spellEnd"/>
          </w:p>
        </w:tc>
        <w:tc>
          <w:tcPr>
            <w:tcW w:w="197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经济指标类型</w:t>
            </w:r>
          </w:p>
        </w:tc>
        <w:tc>
          <w:tcPr>
            <w:tcW w:w="201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GDP</w:t>
            </w:r>
          </w:p>
        </w:tc>
      </w:tr>
      <w:tr w:rsidR="007D5750" w:rsidRPr="007D5750" w:rsidTr="007D5750">
        <w:tc>
          <w:tcPr>
            <w:tcW w:w="21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eco_indicator</w:t>
            </w:r>
            <w:proofErr w:type="spellEnd"/>
          </w:p>
        </w:tc>
        <w:tc>
          <w:tcPr>
            <w:tcW w:w="197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经济指标</w:t>
            </w:r>
          </w:p>
        </w:tc>
        <w:tc>
          <w:tcPr>
            <w:tcW w:w="201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GDP:第二产业:累计值(亿元)</w:t>
            </w:r>
          </w:p>
        </w:tc>
      </w:tr>
      <w:tr w:rsidR="007D5750" w:rsidRPr="007D5750" w:rsidTr="007D5750">
        <w:tc>
          <w:tcPr>
            <w:tcW w:w="212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number</w:t>
            </w:r>
          </w:p>
        </w:tc>
        <w:tc>
          <w:tcPr>
            <w:tcW w:w="197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数值</w:t>
            </w:r>
          </w:p>
        </w:tc>
        <w:tc>
          <w:tcPr>
            <w:tcW w:w="201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51374.2</w:t>
            </w:r>
          </w:p>
        </w:tc>
      </w:tr>
    </w:tbl>
    <w:p w:rsidR="007D5750" w:rsidRPr="007D5750" w:rsidRDefault="007D5750" w:rsidP="007D5750">
      <w:pPr>
        <w:widowControl/>
        <w:shd w:val="clear" w:color="auto" w:fill="FFFFFF"/>
        <w:spacing w:line="360" w:lineRule="atLeast"/>
        <w:jc w:val="left"/>
        <w:rPr>
          <w:rFonts w:ascii="Helvetica" w:eastAsia="宋体" w:hAnsi="Helvetica" w:cs="Helvetica" w:hint="eastAsia"/>
          <w:color w:val="333333"/>
          <w:kern w:val="0"/>
          <w:szCs w:val="21"/>
        </w:rPr>
      </w:pPr>
    </w:p>
    <w:p w:rsidR="007D5750" w:rsidRPr="007D5750" w:rsidRDefault="007D5750" w:rsidP="007D5750">
      <w:pPr>
        <w:widowControl/>
        <w:shd w:val="clear" w:color="auto" w:fill="FFFFFF"/>
        <w:spacing w:line="360" w:lineRule="atLeast"/>
        <w:jc w:val="left"/>
        <w:rPr>
          <w:rFonts w:ascii="Helvetica" w:eastAsia="宋体" w:hAnsi="Helvetica" w:cs="Helvetica"/>
          <w:color w:val="333333"/>
          <w:kern w:val="0"/>
          <w:szCs w:val="21"/>
        </w:rPr>
      </w:pPr>
      <w:r w:rsidRPr="007D5750">
        <w:rPr>
          <w:rFonts w:ascii="微软雅黑" w:eastAsia="微软雅黑" w:hAnsi="微软雅黑" w:cs="Helvetica" w:hint="eastAsia"/>
          <w:color w:val="333333"/>
          <w:kern w:val="0"/>
          <w:szCs w:val="21"/>
        </w:rPr>
        <w:t>4)   参赛者需提交的结果数据</w:t>
      </w:r>
      <w:r w:rsidRPr="007D5750">
        <w:rPr>
          <w:rFonts w:ascii="微软雅黑" w:eastAsia="微软雅黑" w:hAnsi="微软雅黑" w:cs="Helvetica" w:hint="eastAsia"/>
          <w:color w:val="333333"/>
          <w:kern w:val="0"/>
          <w:szCs w:val="21"/>
        </w:rPr>
        <w:br/>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74"/>
        <w:gridCol w:w="2074"/>
        <w:gridCol w:w="2074"/>
      </w:tblGrid>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color w:val="333333"/>
                <w:kern w:val="0"/>
                <w:szCs w:val="21"/>
              </w:rPr>
            </w:pPr>
            <w:r w:rsidRPr="007D5750">
              <w:rPr>
                <w:rFonts w:ascii="等线" w:eastAsia="等线" w:hAnsi="等线" w:cs="Helvetica" w:hint="eastAsia"/>
                <w:b/>
                <w:bCs/>
                <w:color w:val="333333"/>
                <w:kern w:val="0"/>
                <w:sz w:val="20"/>
                <w:szCs w:val="20"/>
              </w:rPr>
              <w:t>字段</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含义</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b/>
                <w:bCs/>
                <w:color w:val="333333"/>
                <w:kern w:val="0"/>
                <w:sz w:val="20"/>
                <w:szCs w:val="20"/>
              </w:rPr>
              <w:t>示例</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predict_date</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预测日期</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201801</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Province</w:t>
            </w:r>
            <w:r w:rsidRPr="007D5750">
              <w:rPr>
                <w:rFonts w:ascii="等线" w:eastAsia="等线" w:hAnsi="等线" w:cs="Helvetica" w:hint="eastAsia"/>
                <w:color w:val="000000"/>
                <w:kern w:val="0"/>
                <w:sz w:val="20"/>
                <w:szCs w:val="20"/>
              </w:rPr>
              <w:t>_id</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销售省份ID</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234</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000000"/>
                <w:kern w:val="0"/>
                <w:sz w:val="20"/>
                <w:szCs w:val="20"/>
              </w:rPr>
              <w:t>city_id</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销售城市ID</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000000"/>
                <w:kern w:val="0"/>
                <w:sz w:val="20"/>
                <w:szCs w:val="20"/>
              </w:rPr>
              <w:t>3456</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class</w:t>
            </w:r>
            <w:r w:rsidRPr="007D5750">
              <w:rPr>
                <w:rFonts w:ascii="等线" w:eastAsia="等线" w:hAnsi="等线" w:cs="Helvetica" w:hint="eastAsia"/>
                <w:color w:val="000000"/>
                <w:kern w:val="0"/>
                <w:sz w:val="20"/>
                <w:szCs w:val="20"/>
              </w:rPr>
              <w:t>_id</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车型ID</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123456</w:t>
            </w:r>
          </w:p>
        </w:tc>
      </w:tr>
      <w:tr w:rsidR="007D5750" w:rsidRPr="007D5750" w:rsidTr="007D5750">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proofErr w:type="spellStart"/>
            <w:r w:rsidRPr="007D5750">
              <w:rPr>
                <w:rFonts w:ascii="等线" w:eastAsia="等线" w:hAnsi="等线" w:cs="Helvetica" w:hint="eastAsia"/>
                <w:color w:val="333333"/>
                <w:kern w:val="0"/>
                <w:sz w:val="20"/>
                <w:szCs w:val="20"/>
              </w:rPr>
              <w:t>predict_</w:t>
            </w:r>
            <w:r w:rsidRPr="007D5750">
              <w:rPr>
                <w:rFonts w:ascii="等线" w:eastAsia="等线" w:hAnsi="等线" w:cs="Helvetica" w:hint="eastAsia"/>
                <w:color w:val="000000"/>
                <w:kern w:val="0"/>
                <w:sz w:val="20"/>
                <w:szCs w:val="20"/>
              </w:rPr>
              <w:t>quantity</w:t>
            </w:r>
            <w:proofErr w:type="spellEnd"/>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预测销量</w:t>
            </w:r>
          </w:p>
        </w:tc>
        <w:tc>
          <w:tcPr>
            <w:tcW w:w="20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rsidR="007D5750" w:rsidRPr="007D5750" w:rsidRDefault="007D5750" w:rsidP="007D5750">
            <w:pPr>
              <w:widowControl/>
              <w:spacing w:line="360" w:lineRule="atLeast"/>
              <w:jc w:val="center"/>
              <w:rPr>
                <w:rFonts w:ascii="等线" w:eastAsia="等线" w:hAnsi="等线" w:cs="Helvetica" w:hint="eastAsia"/>
                <w:color w:val="333333"/>
                <w:kern w:val="0"/>
                <w:szCs w:val="21"/>
              </w:rPr>
            </w:pPr>
            <w:r w:rsidRPr="007D5750">
              <w:rPr>
                <w:rFonts w:ascii="等线" w:eastAsia="等线" w:hAnsi="等线" w:cs="Helvetica" w:hint="eastAsia"/>
                <w:color w:val="333333"/>
                <w:kern w:val="0"/>
                <w:sz w:val="20"/>
                <w:szCs w:val="20"/>
              </w:rPr>
              <w:t>1234</w:t>
            </w:r>
          </w:p>
        </w:tc>
      </w:tr>
    </w:tbl>
    <w:p w:rsidR="007D5750" w:rsidRPr="007D5750" w:rsidRDefault="007D5750" w:rsidP="007D5750">
      <w:pPr>
        <w:widowControl/>
        <w:shd w:val="clear" w:color="auto" w:fill="FFFFFF"/>
        <w:spacing w:line="360" w:lineRule="atLeast"/>
        <w:jc w:val="left"/>
        <w:rPr>
          <w:rFonts w:ascii="Helvetica" w:eastAsia="宋体" w:hAnsi="Helvetica" w:cs="Helvetica" w:hint="eastAsia"/>
          <w:color w:val="333333"/>
          <w:kern w:val="0"/>
          <w:szCs w:val="21"/>
        </w:rPr>
      </w:pPr>
      <w:r w:rsidRPr="007D5750">
        <w:rPr>
          <w:rFonts w:ascii="微软雅黑" w:eastAsia="微软雅黑" w:hAnsi="微软雅黑" w:cs="Helvetica" w:hint="eastAsia"/>
          <w:color w:val="333333"/>
          <w:kern w:val="0"/>
          <w:szCs w:val="21"/>
        </w:rPr>
        <w:br/>
      </w:r>
    </w:p>
    <w:p w:rsidR="007D5750" w:rsidRPr="007D5750" w:rsidRDefault="007D5750" w:rsidP="007D5750">
      <w:pPr>
        <w:widowControl/>
        <w:shd w:val="clear" w:color="auto" w:fill="FFFFFF"/>
        <w:spacing w:line="360" w:lineRule="atLeast"/>
        <w:jc w:val="left"/>
        <w:rPr>
          <w:rFonts w:ascii="Helvetica" w:eastAsia="宋体" w:hAnsi="Helvetica" w:cs="Helvetica"/>
          <w:color w:val="333333"/>
          <w:kern w:val="0"/>
          <w:szCs w:val="21"/>
        </w:rPr>
      </w:pPr>
      <w:r w:rsidRPr="007D5750">
        <w:rPr>
          <w:rFonts w:ascii="微软雅黑" w:eastAsia="微软雅黑" w:hAnsi="微软雅黑" w:cs="Helvetica" w:hint="eastAsia"/>
          <w:b/>
          <w:bCs/>
          <w:color w:val="333333"/>
          <w:kern w:val="0"/>
          <w:szCs w:val="21"/>
        </w:rPr>
        <w:t>复赛结果评价指标：</w:t>
      </w:r>
      <w:r w:rsidRPr="007D5750">
        <w:rPr>
          <w:rFonts w:ascii="微软雅黑" w:eastAsia="微软雅黑" w:hAnsi="微软雅黑" w:cs="Helvetica" w:hint="eastAsia"/>
          <w:color w:val="333333"/>
          <w:kern w:val="0"/>
          <w:szCs w:val="21"/>
        </w:rPr>
        <w:br/>
        <w:t>主办方将依据参赛者提供的最终预测结果进行评价，评价指标的计算公式为：</w:t>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noProof/>
          <w:color w:val="333333"/>
          <w:kern w:val="0"/>
          <w:szCs w:val="21"/>
        </w:rPr>
        <w:lastRenderedPageBreak/>
        <w:drawing>
          <wp:inline distT="0" distB="0" distL="0" distR="0">
            <wp:extent cx="3601720" cy="2544445"/>
            <wp:effectExtent l="0" t="0" r="0" b="8255"/>
            <wp:docPr id="1" name="图片 1" descr="https://work.alibaba-inc.com/aliwork_tfs/g01_alibaba-inc_com/tfscom/TB1pmXGjv6H8KJjy0FjXXaXepXa.tfs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ork.alibaba-inc.com/aliwork_tfs/g01_alibaba-inc_com/tfscom/TB1pmXGjv6H8KJjy0FjXXaXepXa.tfspriv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1720" cy="2544445"/>
                    </a:xfrm>
                    <a:prstGeom prst="rect">
                      <a:avLst/>
                    </a:prstGeom>
                    <a:noFill/>
                    <a:ln>
                      <a:noFill/>
                    </a:ln>
                  </pic:spPr>
                </pic:pic>
              </a:graphicData>
            </a:graphic>
          </wp:inline>
        </w:drawing>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r w:rsidRPr="007D5750">
        <w:rPr>
          <w:rFonts w:ascii="微软雅黑" w:eastAsia="微软雅黑" w:hAnsi="微软雅黑" w:cs="Helvetica" w:hint="eastAsia"/>
          <w:color w:val="333333"/>
          <w:kern w:val="0"/>
          <w:szCs w:val="21"/>
        </w:rPr>
        <w:br/>
      </w:r>
    </w:p>
    <w:p w:rsidR="00C277F2" w:rsidRPr="007D5750" w:rsidRDefault="00C277F2">
      <w:bookmarkStart w:id="0" w:name="_GoBack"/>
      <w:bookmarkEnd w:id="0"/>
    </w:p>
    <w:sectPr w:rsidR="00C277F2" w:rsidRPr="007D5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7A"/>
    <w:rsid w:val="0055417A"/>
    <w:rsid w:val="007D5750"/>
    <w:rsid w:val="00C2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625CC-F2B0-4A0B-AC0C-FDE870DB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575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5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4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cp:revision>
  <dcterms:created xsi:type="dcterms:W3CDTF">2018-02-06T00:00:00Z</dcterms:created>
  <dcterms:modified xsi:type="dcterms:W3CDTF">2018-02-06T00:00:00Z</dcterms:modified>
</cp:coreProperties>
</file>