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HelveticaNeue-bold.ttf" ContentType="application/x-font-ttf"/>
  <Override PartName="/word/fonts/HelveticaNeue-boldItalic.ttf" ContentType="application/x-font-ttf"/>
  <Override PartName="/word/fonts/HelveticaNeue-italic.ttf" ContentType="application/x-font-ttf"/>
  <Override PartName="/word/fonts/HelveticaNeue-regular.ttf" ContentType="application/x-font-ttf"/>
  <Override PartName="/word/fonts/HelveticaNeueLight-bold.ttf" ContentType="application/x-font-ttf"/>
  <Override PartName="/word/fonts/HelveticaNeueLight-boldItalic.ttf" ContentType="application/x-font-ttf"/>
  <Override PartName="/word/fonts/HelveticaNeueLight-italic.ttf" ContentType="application/x-font-ttf"/>
  <Override PartName="/word/fonts/HelveticaNeueLight-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8">
      <w:pPr>
        <w:spacing w:after="0" w:before="0" w:line="20" w:lineRule="auto"/>
        <w:rPr>
          <w:rFonts w:ascii="Helvetica Neue" w:cs="Helvetica Neue" w:eastAsia="Helvetica Neue" w:hAnsi="Helvetica Neue"/>
          <w:color w:val="000000"/>
        </w:rPr>
      </w:pPr>
      <w:r>
        <w:rPr>
          <w:rtl w:val="0"/>
        </w:rPr>
      </w:r>
    </w:p>
    <w:p w14:paraId="00000009">
      <w:pPr>
        <w:pStyle w:val="Title"/>
        <w:spacing w:line="240" w:lineRule="auto"/>
        <w:rPr>
          <w:rFonts w:ascii="Helvetica Neue Light" w:cs="Helvetica Neue Light" w:eastAsia="Helvetica Neue Light" w:hAnsi="Helvetica Neue Light"/>
          <w:b w:val="0"/>
          <w:bCs w:val="0"/>
          <w:color w:val="5b7085"/>
          <w:sz w:val="72"/>
          <w:szCs w:val="72"/>
        </w:rPr>
      </w:pPr>
      <w:r>
        <w:rPr>
          <w:rFonts w:ascii="Helvetica Neue Light" w:cs="Helvetica Neue Light" w:eastAsia="Helvetica Neue Light" w:hAnsi="Helvetica Neue Light"/>
          <w:b w:val="0"/>
          <w:bCs w:val="0"/>
          <w:color w:val="000000"/>
          <w:sz w:val="72"/>
          <w:szCs w:val="72"/>
          <w:rtl w:val="0"/>
        </w:rPr>
        <w:t xml:space="preserve">Intelligent Fundus Screening</w:t>
      </w:r>
    </w:p>
    <w:p w14:paraId="0000000A">
      <w:pPr>
        <w:pStyle w:val="Title"/>
        <w:spacing w:line="240" w:lineRule="auto"/>
        <w:jc w:val="center"/>
        <w:rPr>
          <w:rFonts w:ascii="Helvetica Neue" w:cs="Helvetica Neue" w:eastAsia="Helvetica Neue" w:hAnsi="Helvetica Neue"/>
          <w:sz w:val="72"/>
          <w:szCs w:val="72"/>
        </w:rPr>
      </w:pPr>
      <w:r>
        <w:rPr>
          <w:color w:val="000000"/>
        </w:rPr>
        <w:t>Klasifikasi Multi-Label Penyakit Mata dengan Routing Bukti Bilateral Ekuivarian pada ODIR-5K</w:t>
      </w:r>
    </w:p>
    <w:p w14:paraId="0000000B">
      <w:pPr>
        <w:rPr>
          <w:rFonts w:ascii="Helvetica Neue" w:cs="Helvetica Neue" w:eastAsia="Helvetica Neue" w:hAnsi="Helvetica Neue"/>
        </w:rPr>
      </w:pPr>
      <w:r>
        <w:rPr>
          <w:rtl w:val="0"/>
        </w:rPr>
      </w:r>
    </w:p>
    <w:p w14:paraId="0000000C">
      <w:pPr>
        <w:rPr>
          <w:rFonts w:ascii="Helvetica Neue" w:cs="Helvetica Neue" w:eastAsia="Helvetica Neue" w:hAnsi="Helvetica Neue"/>
        </w:rPr>
      </w:pPr>
      <w:r>
        <w:rPr>
          <w:rtl w:val="0"/>
        </w:rPr>
      </w:r>
    </w:p>
    <w:p w14:paraId="0000000D">
      <w:pPr>
        <w:rPr>
          <w:rFonts w:ascii="Helvetica Neue" w:cs="Helvetica Neue" w:eastAsia="Helvetica Neue" w:hAnsi="Helvetica Neue"/>
        </w:rPr>
      </w:pPr>
      <w:r>
        <w:rPr>
          <w:rtl w:val="0"/>
        </w:rPr>
      </w:r>
    </w:p>
    <w:p w14:paraId="0000000E">
      <w:pPr>
        <w:rPr>
          <w:rFonts w:ascii="Helvetica Neue" w:cs="Helvetica Neue" w:eastAsia="Helvetica Neue" w:hAnsi="Helvetica Neue"/>
        </w:rPr>
      </w:pPr>
      <w:r>
        <w:rPr>
          <w:rtl w:val="0"/>
        </w:rPr>
      </w:r>
    </w:p>
    <w:p w14:paraId="0000000F">
      <w:pPr>
        <w:rPr>
          <w:rFonts w:ascii="Helvetica Neue" w:cs="Helvetica Neue" w:eastAsia="Helvetica Neue" w:hAnsi="Helvetica Neue"/>
        </w:rPr>
      </w:pPr>
      <w:r>
        <w:rPr>
          <w:rtl w:val="0"/>
        </w:rPr>
      </w:r>
    </w:p>
    <w:p w14:paraId="00000010">
      <w:pPr>
        <w:rPr>
          <w:rFonts w:ascii="Helvetica Neue" w:cs="Helvetica Neue" w:eastAsia="Helvetica Neue" w:hAnsi="Helvetica Neue"/>
        </w:rPr>
      </w:pPr>
      <w:r>
        <w:rPr>
          <w:rtl w:val="0"/>
        </w:rPr>
      </w:r>
    </w:p>
    <w:p w14:paraId="00000011">
      <w:pPr>
        <w:rPr>
          <w:rFonts w:ascii="Helvetica Neue" w:cs="Helvetica Neue" w:eastAsia="Helvetica Neue" w:hAnsi="Helvetica Neue"/>
        </w:rPr>
      </w:pPr>
      <w:r>
        <w:rPr>
          <w:rtl w:val="0"/>
        </w:rPr>
      </w:r>
    </w:p>
    <w:p w14:paraId="00000012">
      <w:pPr>
        <w:rPr>
          <w:rFonts w:ascii="Helvetica Neue" w:cs="Helvetica Neue" w:eastAsia="Helvetica Neue" w:hAnsi="Helvetica Neue"/>
        </w:rPr>
      </w:pPr>
      <w:r>
        <w:rPr>
          <w:rtl w:val="0"/>
        </w:rPr>
      </w:r>
    </w:p>
    <w:p w14:paraId="00000013">
      <w:pPr>
        <w:rPr>
          <w:rFonts w:ascii="Helvetica Neue" w:cs="Helvetica Neue" w:eastAsia="Helvetica Neue" w:hAnsi="Helvetica Neue"/>
        </w:rPr>
      </w:pPr>
      <w:r>
        <w:rPr>
          <w:rtl w:val="0"/>
        </w:rPr>
      </w:r>
    </w:p>
    <w:p w14:paraId="00000014">
      <w:pPr>
        <w:rPr>
          <w:rFonts w:ascii="Helvetica Neue" w:cs="Helvetica Neue" w:eastAsia="Helvetica Neue" w:hAnsi="Helvetica Neue"/>
        </w:rPr>
      </w:pPr>
      <w:r>
        <w:rPr>
          <w:rtl w:val="0"/>
        </w:rPr>
      </w:r>
    </w:p>
    <w:tbl>
      <w:tblPr>
        <w:tblStyle w:val="Table1"/>
        <w:tblW w:w="10400.0" w:type="dxa"/>
        <w:jc w:val="center"/>
        <w:tblLayout w:type="fixed"/>
        <w:tblLook w:val="0600"/>
      </w:tblPr>
      <w:tblGrid>
        <w:gridCol w:w="3200"/>
        <w:gridCol w:w="400"/>
        <w:gridCol w:w="3200"/>
        <w:gridCol w:w="400"/>
        <w:gridCol w:w="3200"/>
        <w:tblGridChange w:id="0">
          <w:tblGrid>
            <w:gridCol w:w="3200"/>
            <w:gridCol w:w="400"/>
            <w:gridCol w:w="3200"/>
            <w:gridCol w:w="400"/>
            <w:gridCol w:w="3200"/>
          </w:tblGrid>
        </w:tblGridChange>
      </w:tblGrid>
      <w:tr>
        <w:trPr>
          <w:cantSplit w:val="0"/>
          <w:tblHeader w:val="0"/>
        </w:trPr>
        <w:tc>
          <w:tcPr/>
          <w:p w14:paraId="00000015">
            <w:pPr>
              <w:pStyle w:val="Heading3"/>
              <w:rPr/>
            </w:pPr>
            <w:bookmarkStart w:colFirst="0" w:colLast="0" w:name="_heading=h.7ykrt4nkacae" w:id="0"/>
            <w:bookmarkEnd w:id="0"/>
            <w:r>
              <w:rPr>
                <w:rtl w:val="0"/>
              </w:rPr>
              <w:t xml:space="preserve">STATUS</w:t>
            </w:r>
          </w:p>
          <w:p w14:paraId="00000016">
            <w:pPr>
              <w:spacing w:after="110" w:line="300" w:lineRule="auto"/>
              <w:rPr>
                <w:rFonts w:ascii="Helvetica Neue" w:cs="Helvetica Neue" w:eastAsia="Helvetica Neue" w:hAnsi="Helvetica Neue"/>
              </w:rPr>
            </w:pPr>
            <w:r>
              <w:rPr>
                <w:rFonts w:ascii="Helvetica Neue" w:cs="Helvetica Neue" w:eastAsia="Helvetica Neue" w:hAnsi="Helvetica Neue"/>
                <w:color w:val="233447"/>
                <w:rtl w:val="0"/>
              </w:rPr>
              <w:t xml:space="preserve">Draft penelitian</w:t>
            </w:r>
            <w:r>
              <w:rPr>
                <w:rtl w:val="0"/>
              </w:rPr>
            </w:r>
          </w:p>
        </w:tc>
        <w:tc>
          <w:tcPr/>
          <w:p w14:paraId="00000017">
            <w:pPr>
              <w:rPr>
                <w:rFonts w:ascii="Helvetica Neue" w:cs="Helvetica Neue" w:eastAsia="Helvetica Neue" w:hAnsi="Helvetica Neue"/>
              </w:rPr>
            </w:pPr>
            <w:r>
              <w:rPr>
                <w:rtl w:val="0"/>
              </w:rPr>
            </w:r>
          </w:p>
        </w:tc>
        <w:tc>
          <w:tcPr/>
          <w:p w14:paraId="00000018">
            <w:pPr>
              <w:pStyle w:val="Heading3"/>
              <w:rPr/>
            </w:pPr>
            <w:bookmarkStart w:colFirst="0" w:colLast="0" w:name="_heading=h.yfftl1hqu8kl" w:id="1"/>
            <w:bookmarkEnd w:id="1"/>
            <w:r>
              <w:rPr>
                <w:rtl w:val="0"/>
              </w:rPr>
              <w:t xml:space="preserve">OWNER</w:t>
            </w:r>
            <w:r>
              <w:rPr>
                <w:rtl w:val="0"/>
              </w:rPr>
            </w:r>
          </w:p>
          <w:p w14:paraId="00000019">
            <w:pPr>
              <w:spacing w:after="110" w:line="300" w:lineRule="auto"/>
              <w:rPr>
                <w:rFonts w:ascii="Helvetica Neue" w:cs="Helvetica Neue" w:eastAsia="Helvetica Neue" w:hAnsi="Helvetica Neue"/>
              </w:rPr>
            </w:pPr>
            <w:r>
              <w:rPr>
                <w:rFonts w:ascii="Helvetica Neue" w:cs="Helvetica Neue" w:eastAsia="Helvetica Neue" w:hAnsi="Helvetica Neue"/>
                <w:color w:val="233447"/>
                <w:rtl w:val="0"/>
              </w:rPr>
              <w:t xml:space="preserve">Peneliti</w:t>
            </w:r>
            <w:r>
              <w:rPr>
                <w:rFonts w:ascii="Helvetica Neue" w:cs="Helvetica Neue" w:eastAsia="Helvetica Neue" w:hAnsi="Helvetica Neue"/>
                <w:rtl w:val="0"/>
              </w:rPr>
              <w:t xml:space="preserve"/>
            </w:r>
            <w:r>
              <w:rPr>
                <w:rFonts w:ascii="Helvetica Neue" w:cs="Helvetica Neue" w:eastAsia="Helvetica Neue" w:hAnsi="Helvetica Neue"/>
                <w:color w:val="233447"/>
                <w:rtl w:val="0"/>
              </w:rPr>
              <w:t xml:space="preserve"/>
            </w:r>
            <w:r>
              <w:rPr>
                <w:rtl w:val="0"/>
              </w:rPr>
            </w:r>
          </w:p>
        </w:tc>
        <w:tc>
          <w:tcPr/>
          <w:p w14:paraId="0000001A">
            <w:pPr>
              <w:rPr>
                <w:rFonts w:ascii="Helvetica Neue" w:cs="Helvetica Neue" w:eastAsia="Helvetica Neue" w:hAnsi="Helvetica Neue"/>
              </w:rPr>
            </w:pPr>
            <w:r>
              <w:rPr>
                <w:rtl w:val="0"/>
              </w:rPr>
            </w:r>
          </w:p>
        </w:tc>
        <w:tc>
          <w:tcPr/>
          <w:p w14:paraId="0000001B">
            <w:pPr>
              <w:pStyle w:val="Heading3"/>
              <w:rPr/>
            </w:pPr>
            <w:bookmarkStart w:colFirst="0" w:colLast="0" w:name="_heading=h.jp27tbh10tsa" w:id="2"/>
            <w:bookmarkEnd w:id="2"/>
            <w:r>
              <w:rPr>
                <w:rtl w:val="0"/>
              </w:rPr>
              <w:t xml:space="preserve">LAST UPDATED</w:t>
            </w:r>
            <w:r>
              <w:rPr>
                <w:rtl w:val="0"/>
              </w:rPr>
            </w:r>
          </w:p>
          <w:p w14:paraId="0000001C">
            <w:pPr>
              <w:spacing w:after="110" w:line="300" w:lineRule="auto"/>
              <w:rPr>
                <w:rFonts w:ascii="Helvetica Neue" w:cs="Helvetica Neue" w:eastAsia="Helvetica Neue" w:hAnsi="Helvetica Neue"/>
              </w:rPr>
            </w:pPr>
            <w:r>
              <w:rPr>
                <w:rFonts w:ascii="Helvetica Neue" w:cs="Helvetica Neue" w:eastAsia="Helvetica Neue" w:hAnsi="Helvetica Neue"/>
                <w:rtl w:val="0"/>
              </w:rPr>
              <w:t xml:space="preserve">September 1, 2026</w:t>
            </w:r>
          </w:p>
        </w:tc>
      </w:tr>
    </w:tbl>
    <w:p w14:paraId="0000001D">
      <w:pPr>
        <w:spacing w:after="110" w:line="300" w:lineRule="auto"/>
        <w:rPr>
          <w:rFonts w:ascii="Helvetica Neue" w:cs="Helvetica Neue" w:eastAsia="Helvetica Neue" w:hAnsi="Helvetica Neue"/>
        </w:rPr>
      </w:pPr>
      <w:r>
        <w:rPr>
          <w:rtl w:val="0"/>
        </w:rPr>
      </w:r>
    </w:p>
    <w:tbl>
      <w:tblPr>
        <w:tblStyle w:val="Table2"/>
        <w:tblW w:w="10155.0" w:type="dxa"/>
        <w:jc w:val="center"/>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400"/>
      </w:tblPr>
      <w:tblGrid>
        <w:gridCol w:w="1815"/>
        <w:gridCol w:w="8340"/>
        <w:tblGridChange w:id="0">
          <w:tblGrid>
            <w:gridCol w:w="1815"/>
            <w:gridCol w:w="8340"/>
          </w:tblGrid>
        </w:tblGridChange>
      </w:tblGrid>
      <w:tr>
        <w:trPr>
          <w:cantSplit w:val="1"/>
          <w:tblHeader w:val="0"/>
        </w:trPr>
        <w:tc>
          <w:tcPr>
            <w:shd w:fill="cfe2f3" w:val="clear"/>
            <w:tcMar>
              <w:top w:w="110.0" w:type="dxa"/>
              <w:left w:w="120.0" w:type="dxa"/>
              <w:bottom w:w="110.0" w:type="dxa"/>
              <w:right w:w="120.0" w:type="dxa"/>
            </w:tcMar>
            <w:vAlign w:val="center"/>
          </w:tcPr>
          <w:p w14:paraId="0000001E">
            <w:pPr>
              <w:spacing w:after="25" w:before="20" w:line="285" w:lineRule="auto"/>
              <w:rPr>
                <w:rFonts w:ascii="Helvetica Neue" w:cs="Helvetica Neue" w:eastAsia="Helvetica Neue" w:hAnsi="Helvetica Neue"/>
                <w:color w:val="000000"/>
              </w:rPr>
            </w:pPr>
            <w:r>
              <w:rPr>
                <w:rFonts w:ascii="Helvetica Neue" w:cs="Helvetica Neue" w:eastAsia="Helvetica Neue" w:hAnsi="Helvetica Neue"/>
                <w:b w:val="1"/>
                <w:bCs w:val="1"/>
                <w:color w:val="000000"/>
                <w:rtl w:val="0"/>
              </w:rPr>
              <w:t xml:space="preserve">Authors</w:t>
            </w:r>
            <w:r>
              <w:rPr>
                <w:rtl w:val="0"/>
              </w:rPr>
            </w:r>
          </w:p>
        </w:tc>
        <w:tc>
          <w:tcPr>
            <w:tcBorders>
              <w:top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1F">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Peneliti</w:t>
            </w:r>
            <w:r>
              <w:rPr>
                <w:rFonts w:ascii="Helvetica Neue" w:cs="Helvetica Neue" w:eastAsia="Helvetica Neue" w:hAnsi="Helvetica Neue"/>
                <w:rtl w:val="0"/>
              </w:rPr>
              <w:t xml:space="preserve"/>
            </w:r>
            <w:r>
              <w:rPr>
                <w:rFonts w:ascii="Helvetica Neue" w:cs="Helvetica Neue" w:eastAsia="Helvetica Neue" w:hAnsi="Helvetica Neue"/>
                <w:color w:val="233447"/>
                <w:rtl w:val="0"/>
              </w:rPr>
              <w:t xml:space="preserve"/>
            </w:r>
            <w:r>
              <w:rPr>
                <w:rtl w:val="0"/>
              </w:rPr>
            </w:r>
          </w:p>
        </w:tc>
      </w:tr>
      <w:tr>
        <w:trPr>
          <w:cantSplit w:val="1"/>
          <w:trHeight w:val="404.3103027343749" w:hRule="atLeast"/>
          <w:tblHeader w:val="0"/>
        </w:trPr>
        <w:tc>
          <w:tcPr>
            <w:shd w:fill="cfe2f3" w:val="clear"/>
            <w:tcMar>
              <w:top w:w="110.0" w:type="dxa"/>
              <w:left w:w="120.0" w:type="dxa"/>
              <w:bottom w:w="110.0" w:type="dxa"/>
              <w:right w:w="120.0" w:type="dxa"/>
            </w:tcMar>
            <w:vAlign w:val="center"/>
          </w:tcPr>
          <w:p w14:paraId="00000020">
            <w:pPr>
              <w:spacing w:after="25" w:before="20" w:line="285" w:lineRule="auto"/>
              <w:rPr>
                <w:rFonts w:ascii="Helvetica Neue" w:cs="Helvetica Neue" w:eastAsia="Helvetica Neue" w:hAnsi="Helvetica Neue"/>
                <w:color w:val="000000"/>
              </w:rPr>
            </w:pPr>
            <w:r>
              <w:rPr>
                <w:rFonts w:ascii="Helvetica Neue" w:cs="Helvetica Neue" w:eastAsia="Helvetica Neue" w:hAnsi="Helvetica Neue"/>
                <w:b w:val="1"/>
                <w:bCs w:val="1"/>
                <w:color w:val="000000"/>
                <w:rtl w:val="0"/>
              </w:rPr>
              <w:t xml:space="preserve">Reviewers</w:t>
            </w:r>
            <w:r>
              <w:rPr>
                <w:rtl w:val="0"/>
              </w:rPr>
            </w:r>
          </w:p>
        </w:tc>
        <w:tc>
          <w:tcPr>
            <w:tcBorders>
              <w:top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2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Pembimbing</w:t>
            </w:r>
            <w:r>
              <w:rPr>
                <w:rtl w:val="0"/>
              </w:rPr>
            </w:r>
          </w:p>
        </w:tc>
      </w:tr>
      <w:tr>
        <w:trPr>
          <w:cantSplit w:val="1"/>
          <w:tblHeader w:val="0"/>
        </w:trPr>
        <w:tc>
          <w:tcPr>
            <w:shd w:fill="cfe2f3" w:val="clear"/>
            <w:tcMar>
              <w:top w:w="110.0" w:type="dxa"/>
              <w:left w:w="120.0" w:type="dxa"/>
              <w:bottom w:w="110.0" w:type="dxa"/>
              <w:right w:w="120.0" w:type="dxa"/>
            </w:tcMar>
            <w:vAlign w:val="center"/>
          </w:tcPr>
          <w:p w14:paraId="00000022">
            <w:pPr>
              <w:spacing w:after="25" w:before="20" w:line="285" w:lineRule="auto"/>
              <w:rPr>
                <w:rFonts w:ascii="Helvetica Neue" w:cs="Helvetica Neue" w:eastAsia="Helvetica Neue" w:hAnsi="Helvetica Neue"/>
                <w:color w:val="000000"/>
              </w:rPr>
            </w:pPr>
            <w:r>
              <w:rPr>
                <w:rFonts w:ascii="Helvetica Neue" w:cs="Helvetica Neue" w:eastAsia="Helvetica Neue" w:hAnsi="Helvetica Neue"/>
                <w:b w:val="1"/>
                <w:bCs w:val="1"/>
                <w:color w:val="000000"/>
                <w:rtl w:val="0"/>
              </w:rPr>
              <w:t xml:space="preserve">Related docs</w:t>
            </w:r>
            <w:r>
              <w:rPr>
                <w:rtl w:val="0"/>
              </w:rPr>
            </w:r>
          </w:p>
        </w:tc>
        <w:tc>
          <w:tcPr>
            <w:tcBorders>
              <w:top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23">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Outline + Literature Matrix</w:t>
            </w:r>
            <w:r>
              <w:rPr>
                <w:rFonts w:ascii="Helvetica Neue" w:cs="Helvetica Neue" w:eastAsia="Helvetica Neue" w:hAnsi="Helvetica Neue"/>
                <w:rtl w:val="0"/>
              </w:rPr>
              <w:t xml:space="preserve"/>
            </w:r>
            <w:r>
              <w:rPr>
                <w:rFonts w:ascii="Helvetica Neue" w:cs="Helvetica Neue" w:eastAsia="Helvetica Neue" w:hAnsi="Helvetica Neue"/>
                <w:color w:val="233447"/>
                <w:rtl w:val="0"/>
              </w:rPr>
              <w:t xml:space="preserve"/>
            </w:r>
            <w:r>
              <w:rPr>
                <w:rtl w:val="0"/>
              </w:rPr>
            </w:r>
          </w:p>
        </w:tc>
      </w:tr>
      <w:tr>
        <w:trPr>
          <w:cantSplit w:val="1"/>
          <w:tblHeader w:val="0"/>
        </w:trPr>
        <w:tc>
          <w:tcPr>
            <w:shd w:fill="cfe2f3" w:val="clear"/>
            <w:tcMar>
              <w:top w:w="110.0" w:type="dxa"/>
              <w:left w:w="120.0" w:type="dxa"/>
              <w:bottom w:w="110.0" w:type="dxa"/>
              <w:right w:w="120.0" w:type="dxa"/>
            </w:tcMar>
            <w:vAlign w:val="center"/>
          </w:tcPr>
          <w:p w14:paraId="00000024">
            <w:pPr>
              <w:spacing w:after="25" w:before="20" w:line="285" w:lineRule="auto"/>
              <w:rPr>
                <w:rFonts w:ascii="Helvetica Neue" w:cs="Helvetica Neue" w:eastAsia="Helvetica Neue" w:hAnsi="Helvetica Neue"/>
                <w:color w:val="000000"/>
              </w:rPr>
            </w:pPr>
            <w:r>
              <w:rPr>
                <w:rFonts w:ascii="Helvetica Neue" w:cs="Helvetica Neue" w:eastAsia="Helvetica Neue" w:hAnsi="Helvetica Neue"/>
                <w:b w:val="1"/>
                <w:bCs w:val="1"/>
                <w:color w:val="000000"/>
                <w:rtl w:val="0"/>
              </w:rPr>
              <w:t xml:space="preserve">Scope</w:t>
            </w:r>
            <w:r>
              <w:rPr>
                <w:rtl w:val="0"/>
              </w:rPr>
            </w:r>
          </w:p>
        </w:tc>
        <w:tc>
          <w:tcPr>
            <w:tcBorders>
              <w:top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r>
              <w:t>Desain metode LEBER untuk klasifikasi multi-label tingkat pasien, didukung studi pendahuluan lima loss dan analisis Layer-CAM.</w:t>
            </w:r>
          </w:p>
        </w:tc>
      </w:tr>
    </w:tbl>
    <w:p w14:paraId="00000026">
      <w:pPr>
        <w:pStyle w:val="Heading1"/>
        <w:pBdr>
          <w:top w:color="2f6b9a" w:space="2" w:sz="0" w:val="none"/>
          <w:left w:color="2f6b9a" w:space="2" w:sz="0" w:val="none"/>
          <w:bottom w:color="2f6b9a" w:space="2" w:sz="0" w:val="none"/>
          <w:right w:color="2f6b9a" w:space="2" w:sz="0" w:val="none"/>
        </w:pBdr>
        <w:spacing w:after="130" w:before="0" w:line="285" w:lineRule="auto"/>
        <w:rPr>
          <w:rFonts w:ascii="Helvetica Neue" w:cs="Helvetica Neue" w:eastAsia="Helvetica Neue" w:hAnsi="Helvetica Neue"/>
          <w:color w:val="000000"/>
        </w:rPr>
      </w:pPr>
      <w:r>
        <w:rPr>
          <w:rFonts w:ascii="Helvetica Neue" w:cs="Helvetica Neue" w:eastAsia="Helvetica Neue" w:hAnsi="Helvetica Neue"/>
          <w:color w:val="000000"/>
          <w:rtl w:val="0"/>
        </w:rPr>
        <w:t xml:space="preserve">1.  Abstract</w:t>
      </w:r>
      <w:r>
        <w:rPr>
          <w:color w:val="000000"/>
          <w:rtl w:val="0"/>
        </w:rPr>
      </w:r>
    </w:p>
    <w:p w14:paraId="00000027">
      <w:pPr>
        <w:spacing w:after="110" w:line="300" w:lineRule="auto"/>
        <w:jc w:val="both"/>
        <w:rPr>
          <w:rFonts w:ascii="Helvetica Neue" w:cs="Helvetica Neue" w:eastAsia="Helvetica Neue" w:hAnsi="Helvetica Neue"/>
        </w:rPr>
      </w:pPr>
      <w:r>
        <w:t>Desain ini menetapkan LEBER sebagai metode utama klasifikasi multi-label tingkat pasien pada ODIR-5K. Sistem memisahkan bukti mata kiri, mata kanan, dan interaksi bilateral, kemudian mengatur kontribusinya untuk setiap label melalui router yang mengikuti pertukaran input. Perbandingan lima fungsi loss tetap menjadi studi pendahuluan. Layer-CAM dan bobot router digunakan untuk interpretasi.</w:t>
      </w:r>
    </w:p>
    <w:p w14:paraId="00000028">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Desain mendukung pelatihan dan evaluasi eksperimen offline pada citra fundus berpasangan. Sistem tidak dimaksudkan untuk menggantikan diagnosis dokter, memberikan keputusan klinis otomatis, atau membuktikan validitas klinis melalui dataset retrospektif saja. Hasil eksperimen bergantung pada kualitas label ODIR-5K, patient-level split, sumber daya komputasi, dan pemilihan threshold yang didokumentasikan.</w:t>
      </w:r>
      <w:r>
        <w:rPr>
          <w:rtl w:val="0"/>
        </w:rPr>
      </w:r>
    </w:p>
    <w:p w14:paraId="00000029">
      <w:pPr>
        <w:spacing w:after="0" w:line="120" w:lineRule="auto"/>
        <w:jc w:val="both"/>
        <w:rPr>
          <w:rFonts w:ascii="Helvetica Neue" w:cs="Helvetica Neue" w:eastAsia="Helvetica Neue" w:hAnsi="Helvetica Neue"/>
        </w:rPr>
      </w:pPr>
      <w:r>
        <w:rPr>
          <w:rtl w:val="0"/>
        </w:rPr>
      </w:r>
    </w:p>
    <w:p w14:paraId="0000002A">
      <w:pPr>
        <w:pStyle w:val="Heading1"/>
        <w:rPr>
          <w:rFonts w:ascii="Helvetica Neue" w:cs="Helvetica Neue" w:eastAsia="Helvetica Neue" w:hAnsi="Helvetica Neue"/>
        </w:rPr>
      </w:pPr>
      <w:r>
        <w:rPr>
          <w:rFonts w:ascii="Helvetica Neue" w:cs="Helvetica Neue" w:eastAsia="Helvetica Neue" w:hAnsi="Helvetica Neue"/>
          <w:color w:val="000000"/>
          <w:rtl w:val="0"/>
        </w:rPr>
        <w:t xml:space="preserve">2.  Goals and Non-Goals</w:t>
      </w:r>
    </w:p>
    <w:tbl>
      <w:tblPr>
        <w:tblStyle w:val="Table3"/>
        <w:tblW w:w="10224.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5112"/>
        <w:gridCol w:w="5112"/>
        <w:tblGridChange w:id="0">
          <w:tblGrid>
            <w:gridCol w:w="5112"/>
            <w:gridCol w:w="5112"/>
          </w:tblGrid>
        </w:tblGridChange>
      </w:tblGrid>
      <w:tr>
        <w:trPr>
          <w:cantSplit w:val="1"/>
          <w:tblHeader w:val="1"/>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2B">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Goals</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2C">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Non-goals</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2D">
            <w:pPr>
              <w:spacing w:after="25" w:before="20" w:line="285" w:lineRule="auto"/>
              <w:rPr>
                <w:rFonts w:ascii="Helvetica Neue" w:cs="Helvetica Neue" w:eastAsia="Helvetica Neue" w:hAnsi="Helvetica Neue"/>
              </w:rPr>
            </w:pPr>
            <w:r>
              <w:rPr>
                <w:b w:val="0"/>
                <w:sz w:val="17"/>
              </w:rPr>
              <w:t>Mendapatkan perbandingan lima fungsi loss yang dapat direproduksi.</w:t>
            </w:r>
          </w:p>
        </w:tc>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2E">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Bukan sistem diagnosis klinis otonom.</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2F">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Mengukur performa agregat dan per kelas secara adil.</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30">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Tidak membangun arsitektur multi-task segmentasi pembuluh.</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3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Mencegah leakage melalui patient-level split.</w:t>
            </w:r>
            <w:r>
              <w:rPr>
                <w:rtl w:val="0"/>
              </w:rPr>
            </w:r>
          </w:p>
        </w:tc>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32">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Tidak mencakup deployment rumah sakit atau aplikasi pasien.</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33">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Menyediakan log, versi model, dan hasil yang dapat diaudit.</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34">
            <w:pPr>
              <w:spacing w:after="25" w:before="20" w:line="285" w:lineRule="auto"/>
              <w:rPr>
                <w:rFonts w:ascii="Helvetica Neue" w:cs="Helvetica Neue" w:eastAsia="Helvetica Neue" w:hAnsi="Helvetica Neue"/>
              </w:rPr>
            </w:pPr>
            <w:r>
              <w:t>Tidak menyatakan satu fungsi loss sebagai yang terbaik sebelum eksperimen.</w:t>
            </w:r>
          </w:p>
        </w:tc>
      </w:tr>
    </w:tbl>
    <w:p w14:paraId="00000035">
      <w:pPr>
        <w:pStyle w:val="Heading1"/>
        <w:spacing w:before="0" w:line="216" w:lineRule="auto"/>
        <w:rPr>
          <w:rFonts w:ascii="Helvetica Neue" w:cs="Helvetica Neue" w:eastAsia="Helvetica Neue" w:hAnsi="Helvetica Neue"/>
          <w:color w:val="000000"/>
        </w:rPr>
      </w:pPr>
      <w:r>
        <w:rPr>
          <w:color w:val="000000"/>
          <w:rtl w:val="0"/>
        </w:rPr>
      </w:r>
    </w:p>
    <w:p w14:paraId="00000036">
      <w:pPr>
        <w:pStyle w:val="Heading1"/>
        <w:rPr>
          <w:rFonts w:ascii="Helvetica Neue" w:cs="Helvetica Neue" w:eastAsia="Helvetica Neue" w:hAnsi="Helvetica Neue"/>
        </w:rPr>
      </w:pPr>
      <w:r>
        <w:rPr>
          <w:rFonts w:ascii="Helvetica Neue" w:cs="Helvetica Neue" w:eastAsia="Helvetica Neue" w:hAnsi="Helvetica Neue"/>
          <w:color w:val="000000"/>
          <w:rtl w:val="0"/>
        </w:rPr>
        <w:t xml:space="preserve">3.  Background and Problem Statement</w:t>
      </w:r>
    </w:p>
    <w:p w14:paraId="00000037">
      <w:pPr>
        <w:spacing w:after="110" w:line="300" w:lineRule="auto"/>
        <w:jc w:val="both"/>
        <w:rPr>
          <w:rFonts w:ascii="Helvetica Neue" w:cs="Helvetica Neue" w:eastAsia="Helvetica Neue" w:hAnsi="Helvetica Neue"/>
        </w:rPr>
      </w:pPr>
      <w:r>
        <w:t>ODIR-5K memberikan satu vektor label pasien untuk sepasang citra mata. Informasi bilateral tidak sama pentingnya untuk semua penyakit, dan CNN dapat mempelajari ciri laterality kiri-kanan. Penggabungan global atau concatenation berurutan tidak menjelaskan sumber bukti setiap label dan tidak menjamin hasil diagnosis tetap sama ketika posisi input ditukar.</w:t>
      </w:r>
    </w:p>
    <w:p w14:paraId="00000038">
      <w:pPr>
        <w:spacing w:after="110" w:line="300" w:lineRule="auto"/>
        <w:jc w:val="both"/>
        <w:rPr>
          <w:rFonts w:ascii="Helvetica Neue" w:cs="Helvetica Neue" w:eastAsia="Helvetica Neue" w:hAnsi="Helvetica Neue"/>
          <w:color w:val="000000"/>
        </w:rPr>
      </w:pPr>
      <w:r>
        <w:t>Batas sistem dimulai dari manifest pasien dan pasangan citra fundus, lalu mencakup preprocessing, shared ResNet50, tiga expert, label-wise router, ablation study, evaluasi swap, dan Layer-CAM. Keluaran berada pada tingkat pasien. Sistem tidak menentukan mata mana yang mengalami penyakit dan tidak digunakan sebagai diagnosis klinis otonom.</w:t>
      </w:r>
    </w:p>
    <w:p>
      <w:pPr>
        <w:pStyle w:val="Heading2"/>
      </w:pPr>
      <w:r>
        <w:rPr>
          <w:color w:val="000000"/>
        </w:rPr>
        <w:t>Rancangan Pengujian Fungsi Loss</w:t>
      </w:r>
    </w:p>
    <w:tbl>
      <w:tblPr>
        <w:tblW w:type="auto" w:w="0"/>
        <w:jc w:val="center"/>
        <w:tblLook w:firstColumn="1" w:firstRow="1" w:lastColumn="0" w:lastRow="0" w:noHBand="0" w:noVBand="1" w:val="04A0"/>
      </w:tblPr>
      <w:tblGrid>
        <w:gridCol w:w="2556"/>
        <w:gridCol w:w="2556"/>
        <w:gridCol w:w="2556"/>
        <w:gridCol w:w="2556"/>
      </w:tblGrid>
      <w:tr>
        <w:tc>
          <w:tcPr>
            <w:tcW w:type="dxa" w:w="2556"/>
            <w:vAlign w:val="center"/>
            <w:shd w:fill="D9EAF7"/>
          </w:tcPr>
          <w:p>
            <w:r>
              <w:rPr>
                <w:b/>
                <w:sz w:val="17"/>
              </w:rPr>
              <w:t>Loss</w:t>
            </w:r>
          </w:p>
        </w:tc>
        <w:tc>
          <w:tcPr>
            <w:tcW w:type="dxa" w:w="2556"/>
            <w:vAlign w:val="center"/>
            <w:shd w:fill="D9EAF7"/>
          </w:tcPr>
          <w:p>
            <w:r>
              <w:rPr>
                <w:b/>
                <w:sz w:val="17"/>
              </w:rPr>
              <w:t>Posisi</w:t>
            </w:r>
          </w:p>
        </w:tc>
        <w:tc>
          <w:tcPr>
            <w:tcW w:type="dxa" w:w="2556"/>
            <w:vAlign w:val="center"/>
            <w:shd w:fill="D9EAF7"/>
          </w:tcPr>
          <w:p>
            <w:r>
              <w:rPr>
                <w:b/>
                <w:sz w:val="17"/>
              </w:rPr>
              <w:t>Parameter yang dikunci</w:t>
            </w:r>
          </w:p>
        </w:tc>
        <w:tc>
          <w:tcPr>
            <w:tcW w:type="dxa" w:w="2556"/>
            <w:vAlign w:val="center"/>
            <w:shd w:fill="D9EAF7"/>
          </w:tcPr>
          <w:p>
            <w:r>
              <w:rPr>
                <w:b/>
                <w:sz w:val="17"/>
              </w:rPr>
              <w:t>Pertanyaan yang diuji</w:t>
            </w:r>
          </w:p>
        </w:tc>
      </w:tr>
      <w:tr>
        <w:tc>
          <w:tcPr>
            <w:tcW w:type="dxa" w:w="2556"/>
            <w:vAlign w:val="center"/>
          </w:tcPr>
          <w:p>
            <w:r>
              <w:rPr>
                <w:b w:val="0"/>
                <w:sz w:val="17"/>
              </w:rPr>
              <w:t>BCE</w:t>
            </w:r>
          </w:p>
        </w:tc>
        <w:tc>
          <w:tcPr>
            <w:tcW w:type="dxa" w:w="2556"/>
            <w:vAlign w:val="center"/>
          </w:tcPr>
          <w:p>
            <w:r>
              <w:rPr>
                <w:b w:val="0"/>
                <w:sz w:val="17"/>
              </w:rPr>
              <w:t>Baseline</w:t>
            </w:r>
          </w:p>
        </w:tc>
        <w:tc>
          <w:tcPr>
            <w:tcW w:type="dxa" w:w="2556"/>
            <w:vAlign w:val="center"/>
          </w:tcPr>
          <w:p>
            <w:r>
              <w:rPr>
                <w:b w:val="0"/>
                <w:sz w:val="17"/>
              </w:rPr>
              <w:t>Tidak ada parameter khusus</w:t>
            </w:r>
          </w:p>
        </w:tc>
        <w:tc>
          <w:tcPr>
            <w:tcW w:type="dxa" w:w="2556"/>
            <w:vAlign w:val="center"/>
          </w:tcPr>
          <w:p>
            <w:r>
              <w:rPr>
                <w:b w:val="0"/>
                <w:sz w:val="17"/>
              </w:rPr>
              <w:t>Acuan kinerja standar</w:t>
            </w:r>
          </w:p>
        </w:tc>
      </w:tr>
      <w:tr>
        <w:tc>
          <w:tcPr>
            <w:tcW w:type="dxa" w:w="2556"/>
            <w:vAlign w:val="center"/>
          </w:tcPr>
          <w:p>
            <w:r>
              <w:rPr>
                <w:b w:val="0"/>
                <w:sz w:val="17"/>
              </w:rPr>
              <w:t>Weighted BCE</w:t>
            </w:r>
          </w:p>
        </w:tc>
        <w:tc>
          <w:tcPr>
            <w:tcW w:type="dxa" w:w="2556"/>
            <w:vAlign w:val="center"/>
          </w:tcPr>
          <w:p>
            <w:r>
              <w:rPr>
                <w:b w:val="0"/>
                <w:sz w:val="17"/>
              </w:rPr>
              <w:t>Pembobotan kelas</w:t>
            </w:r>
          </w:p>
        </w:tc>
        <w:tc>
          <w:tcPr>
            <w:tcW w:type="dxa" w:w="2556"/>
            <w:vAlign w:val="center"/>
          </w:tcPr>
          <w:p>
            <w:r>
              <w:rPr>
                <w:b w:val="0"/>
                <w:sz w:val="17"/>
              </w:rPr>
              <w:t>Bobot dari frekuensi label data latih</w:t>
            </w:r>
          </w:p>
        </w:tc>
        <w:tc>
          <w:tcPr>
            <w:tcW w:type="dxa" w:w="2556"/>
            <w:vAlign w:val="center"/>
          </w:tcPr>
          <w:p>
            <w:r>
              <w:rPr>
                <w:b w:val="0"/>
                <w:sz w:val="17"/>
              </w:rPr>
              <w:t>Meningkatkan perhatian pada label jarang</w:t>
            </w:r>
          </w:p>
        </w:tc>
      </w:tr>
      <w:tr>
        <w:tc>
          <w:tcPr>
            <w:tcW w:type="dxa" w:w="2556"/>
            <w:vAlign w:val="center"/>
          </w:tcPr>
          <w:p>
            <w:r>
              <w:rPr>
                <w:b w:val="0"/>
                <w:sz w:val="17"/>
              </w:rPr>
              <w:t>Focal Loss</w:t>
            </w:r>
          </w:p>
        </w:tc>
        <w:tc>
          <w:tcPr>
            <w:tcW w:type="dxa" w:w="2556"/>
            <w:vAlign w:val="center"/>
          </w:tcPr>
          <w:p>
            <w:r>
              <w:rPr>
                <w:b w:val="0"/>
                <w:sz w:val="17"/>
              </w:rPr>
              <w:t>Contoh sulit</w:t>
            </w:r>
          </w:p>
        </w:tc>
        <w:tc>
          <w:tcPr>
            <w:tcW w:type="dxa" w:w="2556"/>
            <w:vAlign w:val="center"/>
          </w:tcPr>
          <w:p>
            <w:r>
              <w:t>Alpha 0,25 dan gamma 2</w:t>
            </w:r>
          </w:p>
        </w:tc>
        <w:tc>
          <w:tcPr>
            <w:tcW w:type="dxa" w:w="2556"/>
            <w:vAlign w:val="center"/>
          </w:tcPr>
          <w:p>
            <w:r>
              <w:rPr>
                <w:b w:val="0"/>
                <w:sz w:val="17"/>
              </w:rPr>
              <w:t>Mengurangi dominasi contoh mudah</w:t>
            </w:r>
          </w:p>
        </w:tc>
      </w:tr>
      <w:tr>
        <w:tc>
          <w:tcPr>
            <w:tcW w:type="dxa" w:w="2556"/>
            <w:vAlign w:val="center"/>
          </w:tcPr>
          <w:p>
            <w:r>
              <w:rPr>
                <w:b w:val="0"/>
                <w:sz w:val="17"/>
              </w:rPr>
              <w:t>ASL</w:t>
            </w:r>
          </w:p>
        </w:tc>
        <w:tc>
          <w:tcPr>
            <w:tcW w:type="dxa" w:w="2556"/>
            <w:vAlign w:val="center"/>
          </w:tcPr>
          <w:p>
            <w:r>
              <w:rPr>
                <w:b w:val="0"/>
                <w:sz w:val="17"/>
              </w:rPr>
              <w:t>Positive-negative imbalance</w:t>
            </w:r>
          </w:p>
        </w:tc>
        <w:tc>
          <w:tcPr>
            <w:tcW w:type="dxa" w:w="2556"/>
            <w:vAlign w:val="center"/>
          </w:tcPr>
          <w:p>
            <w:r>
              <w:t>Gamma positif 1, gamma negatif 4, dan clipping 0,05</w:t>
            </w:r>
          </w:p>
        </w:tc>
        <w:tc>
          <w:tcPr>
            <w:tcW w:type="dxa" w:w="2556"/>
            <w:vAlign w:val="center"/>
          </w:tcPr>
          <w:p>
            <w:r>
              <w:rPr>
                <w:b w:val="0"/>
                <w:sz w:val="17"/>
              </w:rPr>
              <w:t>Mengurangi pengaruh easy negatives</w:t>
            </w:r>
          </w:p>
        </w:tc>
      </w:tr>
      <w:tr>
        <w:tc>
          <w:tcPr>
            <w:tcW w:type="dxa" w:w="2556"/>
            <w:vAlign w:val="center"/>
          </w:tcPr>
          <w:p>
            <w:r>
              <w:rPr>
                <w:b w:val="0"/>
                <w:sz w:val="17"/>
              </w:rPr>
              <w:t>PolyLoss</w:t>
            </w:r>
          </w:p>
        </w:tc>
        <w:tc>
          <w:tcPr>
            <w:tcW w:type="dxa" w:w="2556"/>
            <w:vAlign w:val="center"/>
          </w:tcPr>
          <w:p>
            <w:r>
              <w:rPr>
                <w:b w:val="0"/>
                <w:sz w:val="17"/>
              </w:rPr>
              <w:t>Loss fleksibel</w:t>
            </w:r>
          </w:p>
        </w:tc>
        <w:tc>
          <w:tcPr>
            <w:tcW w:type="dxa" w:w="2556"/>
            <w:vAlign w:val="center"/>
          </w:tcPr>
          <w:p>
            <w:r>
              <w:t>Epsilon 1</w:t>
            </w:r>
          </w:p>
        </w:tc>
        <w:tc>
          <w:tcPr>
            <w:tcW w:type="dxa" w:w="2556"/>
            <w:vAlign w:val="center"/>
          </w:tcPr>
          <w:p>
            <w:r>
              <w:rPr>
                <w:b w:val="0"/>
                <w:sz w:val="17"/>
              </w:rPr>
              <w:t>Menguji modifikasi polinomial pada loss</w:t>
            </w:r>
          </w:p>
        </w:tc>
      </w:tr>
    </w:tbl>
    <w:p>
      <w:r>
        <w:t>Studi pendahuluan mempertahankan seluruh konfigurasi kecuali loss. Eksperimen utama mempertahankan data dan protokol evaluasi, tetapi mengubah fusion secara bertahap dari A0 sampai A6 agar kontribusi arsitektur dapat diisolasi.</w:t>
      </w:r>
    </w:p>
    <w:p>
      <w:pPr>
        <w:pStyle w:val="Heading2"/>
      </w:pPr>
      <w:r>
        <w:rPr>
          <w:color w:val="000000"/>
        </w:rPr>
        <w:t>Konfigurasi Model dan Pelatihan yang Ditetapkan</w:t>
      </w:r>
    </w:p>
    <w:tbl>
      <w:tblPr>
        <w:tblW w:type="auto" w:w="0"/>
        <w:jc w:val="center"/>
        <w:tblLook w:firstColumn="1" w:firstRow="1" w:lastColumn="0" w:lastRow="0" w:noHBand="0" w:noVBand="1" w:val="04A0"/>
      </w:tblPr>
      <w:tblGrid>
        <w:gridCol w:w="5112"/>
        <w:gridCol w:w="5112"/>
      </w:tblGrid>
      <w:tr>
        <w:tc>
          <w:tcPr>
            <w:tcW w:type="dxa" w:w="5112"/>
            <w:vAlign w:val="center"/>
            <w:shd w:fill="D9EAF7"/>
          </w:tcPr>
          <w:p>
            <w:r>
              <w:rPr>
                <w:b/>
                <w:sz w:val="17"/>
              </w:rPr>
              <w:t>Komponen</w:t>
            </w:r>
          </w:p>
        </w:tc>
        <w:tc>
          <w:tcPr>
            <w:tcW w:type="dxa" w:w="5112"/>
            <w:vAlign w:val="center"/>
            <w:shd w:fill="D9EAF7"/>
          </w:tcPr>
          <w:p>
            <w:r>
              <w:rPr>
                <w:b/>
                <w:sz w:val="17"/>
              </w:rPr>
              <w:t>Konfigurasi</w:t>
            </w:r>
          </w:p>
        </w:tc>
      </w:tr>
      <w:tr>
        <w:tc>
          <w:tcPr>
            <w:tcW w:type="dxa" w:w="5112"/>
            <w:vAlign w:val="center"/>
          </w:tcPr>
          <w:p>
            <w:r>
              <w:rPr>
                <w:b w:val="0"/>
                <w:sz w:val="17"/>
              </w:rPr>
              <w:t>Unit data</w:t>
            </w:r>
          </w:p>
        </w:tc>
        <w:tc>
          <w:tcPr>
            <w:tcW w:type="dxa" w:w="5112"/>
            <w:vAlign w:val="center"/>
          </w:tcPr>
          <w:p>
            <w:r>
              <w:rPr>
                <w:b w:val="0"/>
                <w:sz w:val="17"/>
              </w:rPr>
              <w:t>Pasien ODIR-5K, menggunakan pasangan citra mata kiri dan kanan.</w:t>
            </w:r>
          </w:p>
        </w:tc>
      </w:tr>
      <w:tr>
        <w:tc>
          <w:tcPr>
            <w:tcW w:type="dxa" w:w="5112"/>
            <w:vAlign w:val="center"/>
          </w:tcPr>
          <w:p>
            <w:r>
              <w:rPr>
                <w:b w:val="0"/>
                <w:sz w:val="17"/>
              </w:rPr>
              <w:t>Split data</w:t>
            </w:r>
          </w:p>
        </w:tc>
        <w:tc>
          <w:tcPr>
            <w:tcW w:type="dxa" w:w="5112"/>
            <w:vAlign w:val="center"/>
          </w:tcPr>
          <w:p>
            <w:r>
              <w:rPr>
                <w:b w:val="0"/>
                <w:sz w:val="17"/>
              </w:rPr>
              <w:t>70% train, 15% validation, 15% test pada level pasien dengan iterative multilabel stratification.</w:t>
            </w:r>
          </w:p>
        </w:tc>
      </w:tr>
      <w:tr>
        <w:tc>
          <w:tcPr>
            <w:tcW w:type="dxa" w:w="5112"/>
            <w:vAlign w:val="center"/>
          </w:tcPr>
          <w:p>
            <w:r>
              <w:rPr>
                <w:b w:val="0"/>
                <w:sz w:val="17"/>
              </w:rPr>
              <w:t>Input</w:t>
            </w:r>
          </w:p>
        </w:tc>
        <w:tc>
          <w:tcPr>
            <w:tcW w:type="dxa" w:w="5112"/>
            <w:vAlign w:val="center"/>
          </w:tcPr>
          <w:p>
            <w:r>
              <w:rPr>
                <w:b w:val="0"/>
                <w:sz w:val="17"/>
              </w:rPr>
              <w:t>Citra fundus dipotong pada area fundus, di-resize 224 x 224, lalu dinormalisasi dengan statistik ImageNet.</w:t>
            </w:r>
          </w:p>
        </w:tc>
      </w:tr>
      <w:tr>
        <w:tc>
          <w:tcPr>
            <w:tcW w:type="dxa" w:w="5112"/>
            <w:vAlign w:val="center"/>
          </w:tcPr>
          <w:p>
            <w:r>
              <w:rPr>
                <w:b w:val="0"/>
                <w:sz w:val="17"/>
              </w:rPr>
              <w:t>Augmentasi train</w:t>
            </w:r>
          </w:p>
        </w:tc>
        <w:tc>
          <w:tcPr>
            <w:tcW w:type="dxa" w:w="5112"/>
            <w:vAlign w:val="center"/>
          </w:tcPr>
          <w:p>
            <w:r>
              <w:rPr>
                <w:b w:val="0"/>
                <w:sz w:val="17"/>
              </w:rPr>
              <w:t>Horizontal flip, rotasi ringan hingga 15 derajat, dan color jitter ringan. Validation dan test tanpa augmentasi acak.</w:t>
            </w:r>
          </w:p>
        </w:tc>
      </w:tr>
      <w:tr>
        <w:tc>
          <w:tcPr>
            <w:tcW w:type="dxa" w:w="5112"/>
            <w:vAlign w:val="center"/>
          </w:tcPr>
          <w:p>
            <w:r>
              <w:rPr>
                <w:b w:val="0"/>
                <w:sz w:val="17"/>
              </w:rPr>
              <w:t>Backbone</w:t>
            </w:r>
          </w:p>
        </w:tc>
        <w:tc>
          <w:tcPr>
            <w:tcW w:type="dxa" w:w="5112"/>
            <w:vAlign w:val="center"/>
          </w:tcPr>
          <w:p>
            <w:r>
              <w:rPr>
                <w:b w:val="0"/>
                <w:sz w:val="17"/>
              </w:rPr>
              <w:t>ResNet50 pretrained ImageNet sebagai backbone tunggal bersama untuk mata kiri dan kanan.</w:t>
            </w:r>
          </w:p>
        </w:tc>
      </w:tr>
      <w:tr>
        <w:tc>
          <w:tcPr>
            <w:tcW w:type="dxa" w:w="5112"/>
            <w:vAlign w:val="center"/>
          </w:tcPr>
          <w:p>
            <w:r>
              <w:rPr>
                <w:b w:val="0"/>
                <w:sz w:val="17"/>
              </w:rPr>
              <w:t>Model</w:t>
            </w:r>
          </w:p>
        </w:tc>
        <w:tc>
          <w:tcPr>
            <w:tcW w:type="dxa" w:w="5112"/>
            <w:vAlign w:val="center"/>
          </w:tcPr>
          <w:p>
            <w:r>
              <w:rPr>
                <w:b w:val="0"/>
                <w:sz w:val="17"/>
              </w:rPr>
              <w:t>Dua fitur 2.048 dimensi dari backbone digabungkan (concatenate), dropout 0,30, lalu linear head delapan label dan sigmoid.</w:t>
            </w:r>
          </w:p>
        </w:tc>
      </w:tr>
      <w:tr>
        <w:tc>
          <w:tcPr>
            <w:tcW w:type="dxa" w:w="5112"/>
            <w:vAlign w:val="center"/>
          </w:tcPr>
          <w:p>
            <w:r>
              <w:rPr>
                <w:b w:val="0"/>
                <w:sz w:val="17"/>
              </w:rPr>
              <w:t>Optimizer</w:t>
            </w:r>
          </w:p>
        </w:tc>
        <w:tc>
          <w:tcPr>
            <w:tcW w:type="dxa" w:w="5112"/>
            <w:vAlign w:val="center"/>
          </w:tcPr>
          <w:p>
            <w:r>
              <w:rPr>
                <w:b w:val="0"/>
                <w:sz w:val="17"/>
              </w:rPr>
              <w:t>AdamW, learning rate 0,0001, weight decay 0,0001.</w:t>
            </w:r>
          </w:p>
        </w:tc>
      </w:tr>
      <w:tr>
        <w:tc>
          <w:tcPr>
            <w:tcW w:type="dxa" w:w="5112"/>
            <w:vAlign w:val="center"/>
          </w:tcPr>
          <w:p>
            <w:r>
              <w:rPr>
                <w:b w:val="0"/>
                <w:sz w:val="17"/>
              </w:rPr>
              <w:t>Pelatihan</w:t>
            </w:r>
          </w:p>
        </w:tc>
        <w:tc>
          <w:tcPr>
            <w:tcW w:type="dxa" w:w="5112"/>
            <w:vAlign w:val="center"/>
          </w:tcPr>
          <w:p>
            <w:r>
              <w:rPr>
                <w:b w:val="0"/>
                <w:sz w:val="17"/>
              </w:rPr>
              <w:t>Maksimum 30 epoch, batch size 16, early stopping patience 7, scheduler ReduceLROnPlateau berdasarkan validation Macro-F1.</w:t>
            </w:r>
          </w:p>
        </w:tc>
      </w:tr>
      <w:tr>
        <w:tc>
          <w:tcPr>
            <w:tcW w:type="dxa" w:w="5112"/>
            <w:vAlign w:val="center"/>
          </w:tcPr>
          <w:p>
            <w:r>
              <w:rPr>
                <w:b w:val="0"/>
                <w:sz w:val="17"/>
              </w:rPr>
              <w:t>Loss</w:t>
            </w:r>
          </w:p>
        </w:tc>
        <w:tc>
          <w:tcPr>
            <w:tcW w:type="dxa" w:w="5112"/>
            <w:vAlign w:val="center"/>
          </w:tcPr>
          <w:p>
            <w:r>
              <w:rPr>
                <w:b w:val="0"/>
                <w:sz w:val="17"/>
              </w:rPr>
              <w:t>BCE; Weighted BCE dengan pos_weight dari data latih; Focal Loss alpha 0,25 dan gamma 2; ASL gamma positif 1, gamma negatif 4, clipping 0,05; PolyLoss epsilon 1.</w:t>
            </w:r>
          </w:p>
        </w:tc>
      </w:tr>
      <w:tr>
        <w:tc>
          <w:tcPr>
            <w:tcW w:type="dxa" w:w="5112"/>
            <w:vAlign w:val="center"/>
          </w:tcPr>
          <w:p>
            <w:r>
              <w:rPr>
                <w:b w:val="0"/>
                <w:sz w:val="17"/>
              </w:rPr>
              <w:t>Replikasi dan threshold</w:t>
            </w:r>
          </w:p>
        </w:tc>
        <w:tc>
          <w:tcPr>
            <w:tcW w:type="dxa" w:w="5112"/>
            <w:vAlign w:val="center"/>
          </w:tcPr>
          <w:p>
            <w:r>
              <w:rPr>
                <w:b w:val="0"/>
                <w:sz w:val="17"/>
              </w:rPr>
              <w:t>Satu run per loss menggunakan seed 42. Threshold per label dipilih pada validation set dengan aturan yang sama, lalu dikunci untuk test. Kestabilan antar-seed belum diuji.</w:t>
            </w:r>
          </w:p>
        </w:tc>
      </w:tr>
      <w:tr>
        <w:tc>
          <w:tcPr>
            <w:tcW w:type="dxa" w:w="5112"/>
            <w:vAlign w:val="center"/>
          </w:tcPr>
          <w:p>
            <w:r>
              <w:rPr>
                <w:b w:val="0"/>
                <w:sz w:val="17"/>
              </w:rPr>
              <w:t>Evaluasi</w:t>
            </w:r>
          </w:p>
        </w:tc>
        <w:tc>
          <w:tcPr>
            <w:tcW w:type="dxa" w:w="5112"/>
            <w:vAlign w:val="center"/>
          </w:tcPr>
          <w:p>
            <w:r>
              <w:rPr>
                <w:b w:val="0"/>
                <w:sz w:val="17"/>
              </w:rPr>
              <w:t>Macro-F1 sebagai metrik utama; Micro-F1, AUROC per kelas dan macro, precision, recall, F1 per kelas, Hamming Loss, serta ringkasan mayoritas-minoritas.</w:t>
            </w:r>
          </w:p>
        </w:tc>
      </w:tr>
    </w:tbl>
    <w:p>
      <w:r>
        <w:t>Lima loss telah dijalankan satu kali dengan seed 42. Baseline utama dan metode lengkap akan diulang minimal dengan seed 42, 52, dan 62. Test set tidak digunakan untuk memilih arsitektur, threshold, atau hyperparameter.</w:t>
      </w:r>
    </w:p>
    <w:p>
      <w:pPr>
        <w:pStyle w:val="Heading2"/>
      </w:pPr>
      <w:r>
        <w:rPr>
          <w:color w:val="000000"/>
        </w:rPr>
        <w:t>BCE Baseline Experiment Pipeline</w:t>
      </w:r>
    </w:p>
    <w:tbl>
      <w:tblPr>
        <w:tblW w:type="auto" w:w="0"/>
        <w:jc w:val="center"/>
        <w:tblLook w:firstColumn="1" w:firstRow="1" w:lastColumn="0" w:lastRow="0" w:noHBand="0" w:noVBand="1" w:val="04A0"/>
      </w:tblPr>
      <w:tblGrid>
        <w:gridCol w:w="3408"/>
        <w:gridCol w:w="3408"/>
        <w:gridCol w:w="3408"/>
      </w:tblGrid>
      <w:tr>
        <w:tc>
          <w:tcPr>
            <w:tcW w:type="dxa" w:w="3408"/>
            <w:vAlign w:val="center"/>
            <w:shd w:fill="D9EAF7"/>
          </w:tcPr>
          <w:p>
            <w:r>
              <w:rPr>
                <w:b/>
                <w:sz w:val="17"/>
              </w:rPr>
              <w:t>Stage</w:t>
            </w:r>
          </w:p>
        </w:tc>
        <w:tc>
          <w:tcPr>
            <w:tcW w:type="dxa" w:w="3408"/>
            <w:vAlign w:val="center"/>
            <w:shd w:fill="D9EAF7"/>
          </w:tcPr>
          <w:p>
            <w:r>
              <w:rPr>
                <w:b/>
                <w:sz w:val="17"/>
              </w:rPr>
              <w:t>Activity</w:t>
            </w:r>
          </w:p>
        </w:tc>
        <w:tc>
          <w:tcPr>
            <w:tcW w:type="dxa" w:w="3408"/>
            <w:vAlign w:val="center"/>
            <w:shd w:fill="D9EAF7"/>
          </w:tcPr>
          <w:p>
            <w:r>
              <w:rPr>
                <w:b/>
                <w:sz w:val="17"/>
              </w:rPr>
              <w:t>Output or gate</w:t>
            </w:r>
          </w:p>
        </w:tc>
      </w:tr>
      <w:tr>
        <w:tc>
          <w:tcPr>
            <w:tcW w:type="dxa" w:w="3408"/>
            <w:vAlign w:val="center"/>
          </w:tcPr>
          <w:p>
            <w:r>
              <w:rPr>
                <w:b w:val="0"/>
                <w:sz w:val="17"/>
              </w:rPr>
              <w:t>1. Manifest pasien</w:t>
            </w:r>
          </w:p>
        </w:tc>
        <w:tc>
          <w:tcPr>
            <w:tcW w:type="dxa" w:w="3408"/>
            <w:vAlign w:val="center"/>
          </w:tcPr>
          <w:p>
            <w:r>
              <w:rPr>
                <w:b w:val="0"/>
                <w:sz w:val="17"/>
              </w:rPr>
              <w:t>Membaca data.xlsx, membentuk satu baris per pasien, memasangkan citra kiri-kanan, dan membuat vektor delapan label.</w:t>
            </w:r>
          </w:p>
        </w:tc>
        <w:tc>
          <w:tcPr>
            <w:tcW w:type="dxa" w:w="3408"/>
            <w:vAlign w:val="center"/>
          </w:tcPr>
          <w:p>
            <w:r>
              <w:rPr>
                <w:b w:val="0"/>
                <w:sz w:val="17"/>
              </w:rPr>
              <w:t>Setiap pasien memiliki pasangan citra valid dan label N, D, G, C, A, H, M, O.</w:t>
            </w:r>
          </w:p>
        </w:tc>
      </w:tr>
      <w:tr>
        <w:tc>
          <w:tcPr>
            <w:tcW w:type="dxa" w:w="3408"/>
            <w:vAlign w:val="center"/>
          </w:tcPr>
          <w:p>
            <w:r>
              <w:rPr>
                <w:b w:val="0"/>
                <w:sz w:val="17"/>
              </w:rPr>
              <w:t>2. Pemeriksaan data</w:t>
            </w:r>
          </w:p>
        </w:tc>
        <w:tc>
          <w:tcPr>
            <w:tcW w:type="dxa" w:w="3408"/>
            <w:vAlign w:val="center"/>
          </w:tcPr>
          <w:p>
            <w:r>
              <w:rPr>
                <w:b w:val="0"/>
                <w:sz w:val="17"/>
              </w:rPr>
              <w:t>Memastikan file citra tersedia, patient_id unik, dan tidak ada label di luar delapan kelas.</w:t>
            </w:r>
          </w:p>
        </w:tc>
        <w:tc>
          <w:tcPr>
            <w:tcW w:type="dxa" w:w="3408"/>
            <w:vAlign w:val="center"/>
          </w:tcPr>
          <w:p>
            <w:r>
              <w:rPr>
                <w:b w:val="0"/>
                <w:sz w:val="17"/>
              </w:rPr>
              <w:t>Laporan data hilang, duplikasi, serta distribusi label.</w:t>
            </w:r>
          </w:p>
        </w:tc>
      </w:tr>
      <w:tr>
        <w:tc>
          <w:tcPr>
            <w:tcW w:type="dxa" w:w="3408"/>
            <w:vAlign w:val="center"/>
          </w:tcPr>
          <w:p>
            <w:r>
              <w:rPr>
                <w:b w:val="0"/>
                <w:sz w:val="17"/>
              </w:rPr>
              <w:t>3. Patient-level split</w:t>
            </w:r>
          </w:p>
        </w:tc>
        <w:tc>
          <w:tcPr>
            <w:tcW w:type="dxa" w:w="3408"/>
            <w:vAlign w:val="center"/>
          </w:tcPr>
          <w:p>
            <w:r>
              <w:rPr>
                <w:b w:val="0"/>
                <w:sz w:val="17"/>
              </w:rPr>
              <w:t>Membagi pasien 70% train, 15% validation, 15% test dengan iterative multilabel stratification.</w:t>
            </w:r>
          </w:p>
        </w:tc>
        <w:tc>
          <w:tcPr>
            <w:tcW w:type="dxa" w:w="3408"/>
            <w:vAlign w:val="center"/>
          </w:tcPr>
          <w:p>
            <w:r>
              <w:rPr>
                <w:b w:val="0"/>
                <w:sz w:val="17"/>
              </w:rPr>
              <w:t>Tidak ada pasien yang muncul pada lebih dari satu subset.</w:t>
            </w:r>
          </w:p>
        </w:tc>
      </w:tr>
      <w:tr>
        <w:tc>
          <w:tcPr>
            <w:tcW w:type="dxa" w:w="3408"/>
            <w:vAlign w:val="center"/>
          </w:tcPr>
          <w:p>
            <w:r>
              <w:rPr>
                <w:b w:val="0"/>
                <w:sz w:val="17"/>
              </w:rPr>
              <w:t>4. Preprocessing</w:t>
            </w:r>
          </w:p>
        </w:tc>
        <w:tc>
          <w:tcPr>
            <w:tcW w:type="dxa" w:w="3408"/>
            <w:vAlign w:val="center"/>
          </w:tcPr>
          <w:p>
            <w:r>
              <w:rPr>
                <w:b w:val="0"/>
                <w:sz w:val="17"/>
              </w:rPr>
              <w:t>Crop area fundus, resize 224 x 224, normalisasi ImageNet; augmentasi acak hanya untuk train.</w:t>
            </w:r>
          </w:p>
        </w:tc>
        <w:tc>
          <w:tcPr>
            <w:tcW w:type="dxa" w:w="3408"/>
            <w:vAlign w:val="center"/>
          </w:tcPr>
          <w:p>
            <w:r>
              <w:rPr>
                <w:b w:val="0"/>
                <w:sz w:val="17"/>
              </w:rPr>
              <w:t>Tensor citra siap dipakai ResNet50.</w:t>
            </w:r>
          </w:p>
        </w:tc>
      </w:tr>
      <w:tr>
        <w:tc>
          <w:tcPr>
            <w:tcW w:type="dxa" w:w="3408"/>
            <w:vAlign w:val="center"/>
          </w:tcPr>
          <w:p>
            <w:r>
              <w:rPr>
                <w:b w:val="0"/>
                <w:sz w:val="17"/>
              </w:rPr>
              <w:t>5. Model baseline</w:t>
            </w:r>
          </w:p>
        </w:tc>
        <w:tc>
          <w:tcPr>
            <w:tcW w:type="dxa" w:w="3408"/>
            <w:vAlign w:val="center"/>
          </w:tcPr>
          <w:p>
            <w:r>
              <w:rPr>
                <w:b w:val="0"/>
                <w:sz w:val="17"/>
              </w:rPr>
              <w:t>Membangun shared ResNet50 pretrained ImageNet, menggabungkan fitur kiri-kanan, dropout 0,30, head delapan sigmoid.</w:t>
            </w:r>
          </w:p>
        </w:tc>
        <w:tc>
          <w:tcPr>
            <w:tcW w:type="dxa" w:w="3408"/>
            <w:vAlign w:val="center"/>
          </w:tcPr>
          <w:p>
            <w:r>
              <w:rPr>
                <w:b w:val="0"/>
                <w:sz w:val="17"/>
              </w:rPr>
              <w:t>Model baseline menghasilkan delapan probabilitas per pasien.</w:t>
            </w:r>
          </w:p>
        </w:tc>
      </w:tr>
      <w:tr>
        <w:tc>
          <w:tcPr>
            <w:tcW w:type="dxa" w:w="3408"/>
            <w:vAlign w:val="center"/>
          </w:tcPr>
          <w:p>
            <w:r>
              <w:rPr>
                <w:b w:val="0"/>
                <w:sz w:val="17"/>
              </w:rPr>
              <w:t>6. Pelatihan BCE</w:t>
            </w:r>
          </w:p>
        </w:tc>
        <w:tc>
          <w:tcPr>
            <w:tcW w:type="dxa" w:w="3408"/>
            <w:vAlign w:val="center"/>
          </w:tcPr>
          <w:p>
            <w:r>
              <w:rPr>
                <w:b w:val="0"/>
                <w:sz w:val="17"/>
              </w:rPr>
              <w:t>Melatih dengan BCE, AdamW, batch 16, maksimum 30 epoch, dan early stopping.</w:t>
            </w:r>
          </w:p>
        </w:tc>
        <w:tc>
          <w:tcPr>
            <w:tcW w:type="dxa" w:w="3408"/>
            <w:vAlign w:val="center"/>
          </w:tcPr>
          <w:p>
            <w:r>
              <w:rPr>
                <w:b w:val="0"/>
                <w:sz w:val="17"/>
              </w:rPr>
              <w:t>Checkpoint terbaik berdasarkan validation Macro-F1.</w:t>
            </w:r>
          </w:p>
        </w:tc>
      </w:tr>
      <w:tr>
        <w:tc>
          <w:tcPr>
            <w:tcW w:type="dxa" w:w="3408"/>
            <w:vAlign w:val="center"/>
          </w:tcPr>
          <w:p>
            <w:r>
              <w:rPr>
                <w:b w:val="0"/>
                <w:sz w:val="17"/>
              </w:rPr>
              <w:t>7. Validasi</w:t>
            </w:r>
          </w:p>
        </w:tc>
        <w:tc>
          <w:tcPr>
            <w:tcW w:type="dxa" w:w="3408"/>
            <w:vAlign w:val="center"/>
          </w:tcPr>
          <w:p>
            <w:r>
              <w:rPr>
                <w:b w:val="0"/>
                <w:sz w:val="17"/>
              </w:rPr>
              <w:t>Memantau loss dan Macro-F1; memilih threshold per label hanya dari validation set.</w:t>
            </w:r>
          </w:p>
        </w:tc>
        <w:tc>
          <w:tcPr>
            <w:tcW w:type="dxa" w:w="3408"/>
            <w:vAlign w:val="center"/>
          </w:tcPr>
          <w:p>
            <w:r>
              <w:rPr>
                <w:b w:val="0"/>
                <w:sz w:val="17"/>
              </w:rPr>
              <w:t>Konfigurasi dan threshold dikunci sebelum test.</w:t>
            </w:r>
          </w:p>
        </w:tc>
      </w:tr>
      <w:tr>
        <w:tc>
          <w:tcPr>
            <w:tcW w:type="dxa" w:w="3408"/>
            <w:vAlign w:val="center"/>
          </w:tcPr>
          <w:p>
            <w:r>
              <w:rPr>
                <w:b w:val="0"/>
                <w:sz w:val="17"/>
              </w:rPr>
              <w:t>8. Evaluasi test</w:t>
            </w:r>
          </w:p>
        </w:tc>
        <w:tc>
          <w:tcPr>
            <w:tcW w:type="dxa" w:w="3408"/>
            <w:vAlign w:val="center"/>
          </w:tcPr>
          <w:p>
            <w:r>
              <w:rPr>
                <w:b w:val="0"/>
                <w:sz w:val="17"/>
              </w:rPr>
              <w:t>Menghitung Macro-F1, Micro-F1, AUROC, precision, recall, F1 per kelas, dan Hamming Loss.</w:t>
            </w:r>
          </w:p>
        </w:tc>
        <w:tc>
          <w:tcPr>
            <w:tcW w:type="dxa" w:w="3408"/>
            <w:vAlign w:val="center"/>
          </w:tcPr>
          <w:p>
            <w:r>
              <w:rPr>
                <w:b w:val="0"/>
                <w:sz w:val="17"/>
              </w:rPr>
              <w:t>Hasil baseline BCE bagi empat loss lain.</w:t>
            </w:r>
          </w:p>
        </w:tc>
      </w:tr>
      <w:tr>
        <w:tc>
          <w:tcPr>
            <w:tcW w:type="dxa" w:w="3408"/>
            <w:vAlign w:val="center"/>
          </w:tcPr>
          <w:p>
            <w:r>
              <w:rPr>
                <w:b w:val="0"/>
                <w:sz w:val="17"/>
              </w:rPr>
              <w:t>9. Layer-CAM</w:t>
            </w:r>
          </w:p>
        </w:tc>
        <w:tc>
          <w:tcPr>
            <w:tcW w:type="dxa" w:w="3408"/>
            <w:vAlign w:val="center"/>
          </w:tcPr>
          <w:p>
            <w:r>
              <w:rPr>
                <w:b w:val="0"/>
                <w:sz w:val="17"/>
              </w:rPr>
              <w:t>Membuat peta Layer-CAM pada contoh prediksi benar dan salah yang representatif.</w:t>
            </w:r>
          </w:p>
        </w:tc>
        <w:tc>
          <w:tcPr>
            <w:tcW w:type="dxa" w:w="3408"/>
            <w:vAlign w:val="center"/>
          </w:tcPr>
          <w:p>
            <w:r>
              <w:rPr>
                <w:b w:val="0"/>
                <w:sz w:val="17"/>
              </w:rPr>
              <w:t>Interpretasi visual kualitatif, bukan validasi klinis.</w:t>
            </w:r>
          </w:p>
        </w:tc>
      </w:tr>
    </w:tbl>
    <w:p>
      <w:r>
        <w:t>Baseline A0 menggunakan shared ResNet50, concatenation, dan kandidat loss terpilih. Baseline menjadi acuan bagi symmetric fusion, tiga expert, global gate, label-wise router, supervisi kualitas, dan exchange-equivariant construction.</w:t>
      </w:r>
    </w:p>
    <w:p w14:paraId="00000039">
      <w:pPr>
        <w:pStyle w:val="Heading1"/>
        <w:rPr>
          <w:rFonts w:ascii="Helvetica Neue" w:cs="Helvetica Neue" w:eastAsia="Helvetica Neue" w:hAnsi="Helvetica Neue"/>
        </w:rPr>
      </w:pPr>
      <w:r>
        <w:rPr>
          <w:rFonts w:ascii="Helvetica Neue" w:cs="Helvetica Neue" w:eastAsia="Helvetica Neue" w:hAnsi="Helvetica Neue"/>
          <w:color w:val="000000"/>
          <w:rtl w:val="0"/>
        </w:rPr>
        <w:t xml:space="preserve">4.  Proposed Architecture</w:t>
      </w:r>
    </w:p>
    <w:p w14:paraId="0000003A">
      <w:pPr>
        <w:spacing w:after="0" w:line="144" w:lineRule="auto"/>
        <w:rPr>
          <w:rFonts w:ascii="Helvetica Neue" w:cs="Helvetica Neue" w:eastAsia="Helvetica Neue" w:hAnsi="Helvetica Neue"/>
        </w:rPr>
      </w:pPr>
      <w:r>
        <w:rPr>
          <w:rtl w:val="0"/>
        </w:rPr>
      </w:r>
    </w:p>
    <w:p w14:paraId="0000003B">
      <w:pPr>
        <w:rPr>
          <w:rFonts w:ascii="Helvetica Neue" w:cs="Helvetica Neue" w:eastAsia="Helvetica Neue" w:hAnsi="Helvetica Neue"/>
        </w:rPr>
      </w:pPr>
      <w:r>
        <w:rPr>
          <w:rFonts w:ascii="Helvetica Neue" w:cs="Helvetica Neue" w:eastAsia="Helvetica Neue" w:hAnsi="Helvetica Neue"/>
        </w:rPr>
        <w:drawing>
          <wp:inline distB="0" distT="0" distL="0" distR="0">
            <wp:extent cx="6126480" cy="3139821"/>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6126480" cy="3139821"/>
                    </a:xfrm>
                    <a:prstGeom prst="rect"/>
                    <a:ln/>
                  </pic:spPr>
                </pic:pic>
              </a:graphicData>
            </a:graphic>
          </wp:inline>
        </w:drawing>
      </w:r>
      <w:r>
        <w:rPr>
          <w:rtl w:val="0"/>
        </w:rPr>
      </w:r>
    </w:p>
    <w:p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0" w:lineRule="auto"/>
        <w:ind w:left="0" w:right="0" w:firstLine="0"/>
        <w:jc w:val="left"/>
        <w:rPr>
          <w:rFonts w:ascii="Helvetica Neue" w:cs="Helvetica Neue" w:eastAsia="Helvetica Neue" w:hAnsi="Helvetica Neue"/>
          <w:color w:val="082a4a"/>
        </w:rPr>
      </w:pPr>
      <w:r>
        <w:rPr>
          <w:rFonts w:ascii="Helvetica Neue" w:cs="Helvetica Neue" w:eastAsia="Helvetica Neue" w:hAnsi="Helvetica Neue"/>
          <w:color w:val="082a4a"/>
          <w:rtl w:val="0"/>
        </w:rPr>
        <w:t xml:space="preserve">Figure 1. ODIR-5K multi-label fundus classification architecture.</w:t>
      </w:r>
    </w:p>
    <w:p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0" w:lineRule="auto"/>
        <w:ind w:left="0" w:right="0" w:firstLine="0"/>
        <w:jc w:val="left"/>
        <w:rPr>
          <w:rFonts w:ascii="Helvetica Neue" w:cs="Helvetica Neue" w:eastAsia="Helvetica Neue" w:hAnsi="Helvetica Neue"/>
          <w:color w:val="082a4a"/>
        </w:rPr>
      </w:pPr>
      <w:r>
        <w:rPr>
          <w:rtl w:val="0"/>
        </w:rPr>
      </w:r>
    </w:p>
    <w:p w14:paraId="0000003E">
      <w:pPr>
        <w:pStyle w:val="Heading3"/>
        <w:spacing w:after="90" w:line="280" w:lineRule="auto"/>
        <w:rPr/>
      </w:pPr>
      <w:bookmarkStart w:colFirst="0" w:colLast="0" w:name="_heading=h.z8y8vnqzkka4" w:id="3"/>
      <w:bookmarkEnd w:id="3"/>
      <w:r>
        <w:rPr>
          <w:color w:val="000000"/>
          <w:rtl w:val="0"/>
        </w:rPr>
        <w:t xml:space="preserve">Core components</w:t>
      </w:r>
    </w:p>
    <w:p w14:paraId="0000003F">
      <w:pPr>
        <w:spacing w:after="0" w:before="20" w:line="240" w:lineRule="auto"/>
        <w:rPr>
          <w:rFonts w:ascii="Helvetica Neue" w:cs="Helvetica Neue" w:eastAsia="Helvetica Neue" w:hAnsi="Helvetica Neue"/>
          <w:sz w:val="16"/>
          <w:szCs w:val="16"/>
        </w:rPr>
      </w:pPr>
      <w:r>
        <w:rPr>
          <w:rtl w:val="0"/>
        </w:rPr>
      </w:r>
    </w:p>
    <w:tbl>
      <w:tblPr>
        <w:tblStyle w:val="Table4"/>
        <w:tblW w:w="1044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2268"/>
        <w:gridCol w:w="3164"/>
        <w:gridCol w:w="2374"/>
        <w:gridCol w:w="2634"/>
        <w:tblGridChange w:id="0">
          <w:tblGrid>
            <w:gridCol w:w="2268"/>
            <w:gridCol w:w="3164"/>
            <w:gridCol w:w="2374"/>
            <w:gridCol w:w="2634"/>
          </w:tblGrid>
        </w:tblGridChange>
      </w:tblGrid>
      <w:tr>
        <w:trPr>
          <w:cantSplit w:val="1"/>
          <w:tblHeader w:val="1"/>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40">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Component</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41">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Responsibility</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42">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Primary storage</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43">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Failure behavior</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44">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Data and preprocessing</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45">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Memeriksa kualitas citra, resize, normalisasi, augmentasi, serta membentuk label multi-label.</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46">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ODIR-5K manifest and image files</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47">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Mencatat citra/label bermasalah dan menghentikan proses bila input wajib tidak lengkap.</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48">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Controlled model trainer</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r>
              <w:t>Melatih baseline dan varian A0-A6 dengan protokol data yang sama; perubahan arsitektur dicatat per ablation.</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4A">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Experiment configuration and seed</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4B">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Fail-closed: eksperimen tidak dipublikasikan bila konfigurasi atau seed tidak tercatat.</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4C">
            <w:pPr>
              <w:spacing w:after="25" w:before="20" w:line="285" w:lineRule="auto"/>
              <w:rPr>
                <w:rFonts w:ascii="Helvetica Neue" w:cs="Helvetica Neue" w:eastAsia="Helvetica Neue" w:hAnsi="Helvetica Neue"/>
              </w:rPr>
            </w:pPr>
            <w:r>
              <w:t>Inference and Layer-CAM</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4D">
            <w:pPr>
              <w:spacing w:after="25" w:before="20" w:line="285" w:lineRule="auto"/>
              <w:rPr>
                <w:rFonts w:ascii="Helvetica Neue" w:cs="Helvetica Neue" w:eastAsia="Helvetica Neue" w:hAnsi="Helvetica Neue"/>
              </w:rPr>
            </w:pPr>
            <w:r>
              <w:t>Menghasilkan probabilitas delapan label dan peta Layer-CAM untuk label yang dipilih.</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4E">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Versioned model checkpoint</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4F">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Jika checkpoint tidak cocok atau inference gagal, hasil ditandai tidak valid dan tidak dipakai dalam agregasi.</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50">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Evaluation and audit</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51">
            <w:pPr>
              <w:spacing w:after="25" w:before="20" w:line="285" w:lineRule="auto"/>
              <w:rPr>
                <w:rFonts w:ascii="Helvetica Neue" w:cs="Helvetica Neue" w:eastAsia="Helvetica Neue" w:hAnsi="Helvetica Neue"/>
              </w:rPr>
            </w:pPr>
            <w:r>
              <w:rPr>
                <w:rFonts w:ascii="Helvetica Neue" w:cs="Helvetica Neue" w:eastAsia="Helvetica Neue" w:hAnsi="Helvetica Neue"/>
                <w:b w:val="0"/>
                <w:color w:val="233447"/>
                <w:sz w:val="17"/>
                <w:rtl w:val="0"/>
              </w:rPr>
              <w:t>Menyimpan metrik, threshold, confusion summary, dan hasil per kelas untuk perbandingan lima fungsi loss.</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52">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Versioned experiment results</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53">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Kegagalan penulisan menghentikan publikasi hasil; eksperimen dapat dijalankan ulang dari checkpoint.</w:t>
            </w:r>
            <w:r>
              <w:rPr>
                <w:rtl w:val="0"/>
              </w:rPr>
            </w:r>
          </w:p>
        </w:tc>
      </w:tr>
      <w:tr>
        <w:trPr>
          <w:cantSplit w:val="1"/>
          <w:trHeight w:val="58" w:hRule="atLeast"/>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54">
            <w:pPr>
              <w:spacing w:after="25"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Telemetry and reporting</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55">
            <w:pPr>
              <w:spacing w:after="25" w:line="285" w:lineRule="auto"/>
              <w:rPr>
                <w:rFonts w:ascii="Helvetica Neue" w:cs="Helvetica Neue" w:eastAsia="Helvetica Neue" w:hAnsi="Helvetica Neue"/>
              </w:rPr>
            </w:pPr>
            <w:r>
              <w:t>Mencatat seed, versi kode, durasi, loss curve, metrik, dan sampel Layer-CAM.</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56">
            <w:pPr>
              <w:spacing w:after="25"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Experiment log and report files</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57">
            <w:pPr>
              <w:spacing w:after="25"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Eksperimen tanpa log lengkap diberi status tidak lengkap dan memerlukan review manual.</w:t>
            </w:r>
            <w:r>
              <w:rPr>
                <w:rtl w:val="0"/>
              </w:rPr>
            </w:r>
          </w:p>
        </w:tc>
      </w:tr>
    </w:tbl>
    <w:p w14:paraId="00000058">
      <w:pPr>
        <w:pStyle w:val="Heading1"/>
        <w:spacing w:before="0" w:line="120" w:lineRule="auto"/>
        <w:rPr>
          <w:rFonts w:ascii="Helvetica Neue" w:cs="Helvetica Neue" w:eastAsia="Helvetica Neue" w:hAnsi="Helvetica Neue"/>
          <w:color w:val="000000"/>
        </w:rPr>
      </w:pPr>
      <w:r>
        <w:rPr>
          <w:color w:val="000000"/>
          <w:rtl w:val="0"/>
        </w:rPr>
      </w:r>
    </w:p>
    <w:p w14:paraId="00000059">
      <w:pPr>
        <w:pStyle w:val="Heading1"/>
        <w:spacing w:before="0" w:line="120" w:lineRule="auto"/>
        <w:rPr>
          <w:rFonts w:ascii="Helvetica Neue" w:cs="Helvetica Neue" w:eastAsia="Helvetica Neue" w:hAnsi="Helvetica Neue"/>
          <w:color w:val="000000"/>
        </w:rPr>
      </w:pPr>
      <w:r>
        <w:rPr>
          <w:color w:val="000000"/>
          <w:rtl w:val="0"/>
        </w:rPr>
      </w:r>
    </w:p>
    <w:p w14:paraId="0000005A">
      <w:pPr>
        <w:pStyle w:val="Heading1"/>
        <w:rPr>
          <w:rFonts w:ascii="Helvetica Neue" w:cs="Helvetica Neue" w:eastAsia="Helvetica Neue" w:hAnsi="Helvetica Neue"/>
        </w:rPr>
      </w:pPr>
      <w:r>
        <w:rPr>
          <w:rFonts w:ascii="Helvetica Neue" w:cs="Helvetica Neue" w:eastAsia="Helvetica Neue" w:hAnsi="Helvetica Neue"/>
          <w:color w:val="000000"/>
          <w:rtl w:val="0"/>
        </w:rPr>
        <w:t xml:space="preserve">5.  Request Lifecycle</w:t>
      </w:r>
    </w:p>
    <w:p w14:paraId="0000005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Job eksperimen masuk dengan manifest ODIR-5K, folder citra, label, konfigurasi model, seed, dan daftar split pasien.</w:t>
      </w:r>
      <w:r>
        <w:rPr>
          <w:rtl w:val="0"/>
        </w:rPr>
      </w:r>
    </w:p>
    <w:p w14:paraId="0000005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Validasi memeriksa keberadaan citra, kesesuaian patient ID, rentang label, ukuran input, dan normalisasi yang sama untuk train/validation/test.</w:t>
      </w:r>
      <w:r>
        <w:rPr>
          <w:rtl w:val="0"/>
        </w:rPr>
      </w:r>
    </w:p>
    <w:p w14:paraId="0000005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Sistem memuat konfigurasi backbone, loss, hyperparameter setiap loss, threshold, seed, versi preprocessing, dan daftar pasien tiap split.</w:t>
      </w:r>
      <w:r>
        <w:rPr>
          <w:rtl w:val="0"/>
        </w:rPr>
      </w:r>
    </w:p>
    <w:p w14:paraId="0000005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t>Shared ResNet50 mengekstraksi fitur kedua mata. Expert kiri dan kanan menghasilkan bukti monokular, sedangkan expert bilateral memproses jumlah fitur, selisih absolut, dan perkalian elemen. Router menghasilkan tiga bobot per label dan menggabungkan logit expert menjadi delapan probabilitas pasien.</w:t>
      </w:r>
    </w:p>
    <w:p w14:paraId="0000005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Sebelum evaluasi, sistem menyimpan checkpoint, konfigurasi, seed, daftar indeks pasien, dan hash manifest.</w:t>
      </w:r>
      <w:r>
        <w:rPr>
          <w:rtl w:val="0"/>
        </w:rPr>
      </w:r>
    </w:p>
    <w:p w14:paraId="0000006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t>Evaluasi dan Layer-CAM dijalankan setelah checkpoint valid. Job gagal diulang dengan konfigurasi sama; hasil berhenti jika input atau checkpoint berubah.</w:t>
      </w:r>
    </w:p>
    <w:p w14:paraId="0000006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t>Output akhir mencakup metrik agregat dan per label, hasil ablation, rata-rata serta standar deviasi antar-seed, nilai konsistensi swap, bobot router per label, peta Layer-CAM, checkpoint, dan log reproduksibilitas.</w:t>
      </w:r>
    </w:p>
    <w:p w14:paraId="00000062">
      <w:pPr>
        <w:pStyle w:val="Heading1"/>
        <w:spacing w:before="0" w:line="168" w:lineRule="auto"/>
        <w:rPr>
          <w:rFonts w:ascii="Helvetica Neue" w:cs="Helvetica Neue" w:eastAsia="Helvetica Neue" w:hAnsi="Helvetica Neue"/>
          <w:color w:val="000000"/>
        </w:rPr>
      </w:pPr>
      <w:r>
        <w:rPr>
          <w:color w:val="000000"/>
          <w:rtl w:val="0"/>
        </w:rPr>
      </w:r>
    </w:p>
    <w:p w14:paraId="00000063">
      <w:pPr>
        <w:pStyle w:val="Heading1"/>
        <w:rPr>
          <w:rFonts w:ascii="Helvetica Neue" w:cs="Helvetica Neue" w:eastAsia="Helvetica Neue" w:hAnsi="Helvetica Neue"/>
        </w:rPr>
      </w:pPr>
      <w:r>
        <w:rPr>
          <w:rFonts w:ascii="Helvetica Neue" w:cs="Helvetica Neue" w:eastAsia="Helvetica Neue" w:hAnsi="Helvetica Neue"/>
          <w:color w:val="000000"/>
          <w:rtl w:val="0"/>
        </w:rPr>
        <w:t xml:space="preserve">6.  API and Data Contracts</w:t>
      </w:r>
    </w:p>
    <w:p w14:paraId="00000064">
      <w:pPr>
        <w:pStyle w:val="Heading3"/>
        <w:spacing w:after="90" w:line="280" w:lineRule="auto"/>
        <w:rPr/>
      </w:pPr>
      <w:bookmarkStart w:colFirst="0" w:colLast="0" w:name="_heading=h.tw1sfexklg0y" w:id="4"/>
      <w:bookmarkEnd w:id="4"/>
      <w:r>
        <w:rPr>
          <w:color w:val="000000"/>
          <w:rtl w:val="0"/>
        </w:rPr>
        <w:t xml:space="preserve">Primary data contract</w:t>
      </w:r>
    </w:p>
    <w:p w14:paraId="00000065">
      <w:pPr>
        <w:spacing w:after="0" w:line="192" w:lineRule="auto"/>
        <w:rPr>
          <w:rFonts w:ascii="Helvetica Neue" w:cs="Helvetica Neue" w:eastAsia="Helvetica Neue" w:hAnsi="Helvetica Neue"/>
          <w:sz w:val="16"/>
          <w:szCs w:val="16"/>
        </w:rPr>
      </w:pPr>
      <w:r>
        <w:rPr>
          <w:rtl w:val="0"/>
        </w:rPr>
      </w:r>
    </w:p>
    <w:tbl>
      <w:tblPr>
        <w:tblStyle w:val="Table5"/>
        <w:tblW w:w="1044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2344"/>
        <w:gridCol w:w="1921"/>
        <w:gridCol w:w="1873"/>
        <w:gridCol w:w="4302"/>
        <w:tblGridChange w:id="0">
          <w:tblGrid>
            <w:gridCol w:w="2344"/>
            <w:gridCol w:w="1921"/>
            <w:gridCol w:w="1873"/>
            <w:gridCol w:w="4302"/>
          </w:tblGrid>
        </w:tblGridChange>
      </w:tblGrid>
      <w:tr>
        <w:trPr>
          <w:cantSplit w:val="1"/>
          <w:tblHeader w:val="1"/>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66">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Field</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67">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Type</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68">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Required</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69">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Description</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6A">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patient_id</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Pr>
          <w:p w14:paraId="0000006B">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string</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Pr>
          <w:p w14:paraId="0000006C">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Yes</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Pr>
          <w:p w14:paraId="0000006D">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ID pasien untuk memastikan split dilakukan pada level pasien; tidak ditampilkan dalam visual publik.</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6E">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image_id</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6F">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string</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70">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Yes</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7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ID unik citra mata kiri/kanan dari manifest ODIR-5K.</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72">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image_tensor</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73">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string</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74">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Yes</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75">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Tensor citra setelah resize dan normalisasi; preprocessing version wajib dicatat.</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76">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label_vector</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77">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string</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78">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Yes</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79">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Vektor delapan label biner yang terkait dengan patient_id dan image_id.</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7A">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split</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7B">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string</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7C">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Yes</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7D">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Nilai train/validation/test; harus konsisten dengan patient-level manifest.</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7E">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model_version</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7F">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string</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80">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Yes</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8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Identitas backbone, loss, seed, dan versi kode yang menghasilkan checkpoint.</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82">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prediction_and_xai</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83">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string</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84">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Yes</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85">
            <w:pPr>
              <w:spacing w:after="25" w:before="20" w:line="285" w:lineRule="auto"/>
              <w:rPr>
                <w:rFonts w:ascii="Helvetica Neue" w:cs="Helvetica Neue" w:eastAsia="Helvetica Neue" w:hAnsi="Helvetica Neue"/>
              </w:rPr>
            </w:pPr>
            <w:r>
              <w:t>Probabilitas per label, threshold, dan lokasi file Layer-CAM untuk audit analisis.</w:t>
            </w:r>
          </w:p>
        </w:tc>
      </w:tr>
    </w:tbl>
    <w:p w14:paraId="00000086">
      <w:pPr>
        <w:spacing w:after="0" w:line="192" w:lineRule="auto"/>
        <w:rPr>
          <w:rFonts w:ascii="Helvetica Neue" w:cs="Helvetica Neue" w:eastAsia="Helvetica Neue" w:hAnsi="Helvetica Neue"/>
          <w:sz w:val="16"/>
          <w:szCs w:val="16"/>
        </w:rPr>
      </w:pPr>
      <w:r>
        <w:rPr>
          <w:rtl w:val="0"/>
        </w:rPr>
      </w:r>
    </w:p>
    <w:p w14:paraId="00000087">
      <w:pPr>
        <w:pStyle w:val="Heading3"/>
        <w:spacing w:after="90" w:line="280" w:lineRule="auto"/>
        <w:rPr/>
      </w:pPr>
      <w:bookmarkStart w:colFirst="0" w:colLast="0" w:name="_heading=h.379jmrhyew9b" w:id="5"/>
      <w:bookmarkEnd w:id="5"/>
      <w:r>
        <w:rPr>
          <w:color w:val="000000"/>
          <w:rtl w:val="0"/>
        </w:rPr>
        <w:t xml:space="preserve">Contract guarantees</w:t>
      </w:r>
    </w:p>
    <w:p w14:paraId="00000088">
      <w:pPr>
        <w:spacing w:after="0" w:line="192" w:lineRule="auto"/>
        <w:rPr>
          <w:rFonts w:ascii="Helvetica Neue" w:cs="Helvetica Neue" w:eastAsia="Helvetica Neue" w:hAnsi="Helvetica Neue"/>
          <w:sz w:val="16"/>
          <w:szCs w:val="16"/>
        </w:rPr>
      </w:pPr>
      <w:r>
        <w:rPr>
          <w:rtl w:val="0"/>
        </w:rPr>
      </w:r>
    </w:p>
    <w:p w14:paraId="000000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5" w:before="0" w:line="290" w:lineRule="auto"/>
        <w:ind w:left="72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Evaluasi hanya berjalan setelah manifest, split pasien, konfigurasi, dan checkpoint lolos validasi.</w:t>
      </w:r>
      <w:r>
        <w:rPr>
          <w:rtl w:val="0"/>
        </w:rPr>
      </w:r>
    </w:p>
    <w:p w14:paraId="000000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5" w:before="0" w:line="290" w:lineRule="auto"/>
        <w:ind w:left="72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Setiap run memiliki run_id berdasarkan timestamp, seed, hash konfigurasi, dan model version.</w:t>
      </w:r>
      <w:r>
        <w:rPr>
          <w:rtl w:val="0"/>
        </w:rPr>
      </w:r>
    </w:p>
    <w:p w14:paraId="000000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5" w:before="0" w:line="290" w:lineRule="auto"/>
        <w:ind w:left="72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Simpan patient split, preprocessing version, loss parameters, threshold, checkpoint hash, dan versi kode.</w:t>
      </w:r>
      <w:r>
        <w:rPr>
          <w:rtl w:val="0"/>
        </w:rPr>
      </w:r>
    </w:p>
    <w:p w14:paraId="000000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5" w:before="0" w:line="290" w:lineRule="auto"/>
        <w:ind w:left="72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Hasil adalah bukti evaluasi eksperimental; bukan sumber kebenaran diagnosis klinis.</w:t>
      </w:r>
      <w:r>
        <w:rPr>
          <w:rtl w:val="0"/>
        </w:rPr>
      </w:r>
    </w:p>
    <w:p w14:paraId="0000008D">
      <w:pPr>
        <w:spacing w:after="110" w:line="300" w:lineRule="auto"/>
        <w:rPr>
          <w:rFonts w:ascii="Helvetica Neue" w:cs="Helvetica Neue" w:eastAsia="Helvetica Neue" w:hAnsi="Helvetica Neue"/>
        </w:rPr>
      </w:pPr>
      <w:r>
        <w:rPr>
          <w:rFonts w:ascii="Helvetica Neue" w:cs="Helvetica Neue" w:eastAsia="Helvetica Neue" w:hAnsi="Helvetica Neue"/>
          <w:color w:val="233447"/>
          <w:rtl w:val="0"/>
        </w:rPr>
        <w:t xml:space="preserve">The versioned schema or interface definition is published at </w:t>
      </w:r>
      <w:r>
        <w:rPr>
          <w:rtl w:val="0"/>
        </w:rPr>
      </w:r>
    </w:p>
    <w:p w14:paraId="0000008E">
      <w:pPr>
        <w:spacing w:after="110" w:line="300" w:lineRule="auto"/>
        <w:rPr>
          <w:rFonts w:ascii="Helvetica Neue" w:cs="Helvetica Neue" w:eastAsia="Helvetica Neue" w:hAnsi="Helvetica Neue"/>
        </w:rPr>
      </w:pPr>
      <w:hyperlink r:id="rId9">
        <w:r>
          <w:rPr>
            <w:rFonts w:ascii="Helvetica Neue" w:cs="Helvetica Neue" w:eastAsia="Helvetica Neue" w:hAnsi="Helvetica Neue"/>
            <w:color w:val="2f6b9a"/>
            <w:u w:val="single"/>
            <w:rtl w:val="0"/>
          </w:rPr>
          <w:t xml:space="preserve">ODIR-5K manifest and experiment schema</w:t>
        </w:r>
      </w:hyperlink>
      <w:r>
        <w:rPr>
          <w:rFonts w:ascii="Helvetica Neue" w:cs="Helvetica Neue" w:eastAsia="Helvetica Neue" w:hAnsi="Helvetica Neue"/>
          <w:color w:val="233447"/>
          <w:rtl w:val="0"/>
        </w:rPr>
        <w:t xml:space="preserve"> and update it with each contract release.</w:t>
      </w:r>
      <w:r>
        <w:rPr>
          <w:rtl w:val="0"/>
        </w:rPr>
      </w:r>
    </w:p>
    <w:p w14:paraId="0000008F">
      <w:pPr>
        <w:pStyle w:val="Heading1"/>
        <w:spacing w:before="0" w:line="120" w:lineRule="auto"/>
        <w:rPr>
          <w:rFonts w:ascii="Helvetica Neue" w:cs="Helvetica Neue" w:eastAsia="Helvetica Neue" w:hAnsi="Helvetica Neue"/>
          <w:color w:val="000000"/>
        </w:rPr>
      </w:pPr>
      <w:r>
        <w:rPr>
          <w:color w:val="000000"/>
          <w:rtl w:val="0"/>
        </w:rPr>
      </w:r>
    </w:p>
    <w:p w14:paraId="00000090">
      <w:pPr>
        <w:pStyle w:val="Heading1"/>
        <w:rPr>
          <w:rFonts w:ascii="Helvetica Neue" w:cs="Helvetica Neue" w:eastAsia="Helvetica Neue" w:hAnsi="Helvetica Neue"/>
        </w:rPr>
      </w:pPr>
      <w:r>
        <w:rPr>
          <w:rFonts w:ascii="Helvetica Neue" w:cs="Helvetica Neue" w:eastAsia="Helvetica Neue" w:hAnsi="Helvetica Neue"/>
          <w:color w:val="000000"/>
          <w:rtl w:val="0"/>
        </w:rPr>
        <w:t xml:space="preserve">7. Consistency, Idempotency, and Replay</w:t>
      </w:r>
    </w:p>
    <w:p w14:paraId="00000091">
      <w:pPr>
        <w:spacing w:after="0" w:line="96" w:lineRule="auto"/>
        <w:rPr>
          <w:rFonts w:ascii="Helvetica Neue" w:cs="Helvetica Neue" w:eastAsia="Helvetica Neue" w:hAnsi="Helvetica Neue"/>
        </w:rPr>
      </w:pPr>
      <w:r>
        <w:rPr>
          <w:rtl w:val="0"/>
        </w:rPr>
      </w:r>
    </w:p>
    <w:p w14:paraId="00000092">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Run eksperimen harus dapat diulang dengan seed dan konfigurasi yang sama. Hasil identik diberi run_id berbeda tetapi tetap dapat dibandingkan. Duplikasi job tidak boleh menggabungkan hasil ke laporan utama sebelum validasi konfigurasi.</w:t>
      </w:r>
      <w:r>
        <w:rPr>
          <w:rtl w:val="0"/>
        </w:rPr>
      </w:r>
    </w:p>
    <w:tbl>
      <w:tblPr>
        <w:tblStyle w:val="Table6"/>
        <w:tblW w:w="1044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3337"/>
        <w:gridCol w:w="3722"/>
        <w:gridCol w:w="3381"/>
        <w:tblGridChange w:id="0">
          <w:tblGrid>
            <w:gridCol w:w="3337"/>
            <w:gridCol w:w="3722"/>
            <w:gridCol w:w="3381"/>
          </w:tblGrid>
        </w:tblGridChange>
      </w:tblGrid>
      <w:tr>
        <w:trPr>
          <w:cantSplit w:val="1"/>
          <w:tblHeader w:val="1"/>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93">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Scenario</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94">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Expected behavior</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95">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Reasoning</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96">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Run dengan hash konfigurasi sama dicatat sebagai pengulangan terpisah.</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97">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Menghasilkan checkpoint dan laporan baru tanpa menimpa hasil sebelumnya.</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98">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run_id dan checkpoint hash mencegah hasil berbeda tertukar.</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99">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Jika manifest, checkpoint, atau hasil tidak dapat disimpan, run berstatus gagal.</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9A">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Kegagalan dapat diulang; tidak ada hasil parsial yang dipromosikan.</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9B">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Status gagal dan pesan error disimpan dalam log.</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9C">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Job dihentikan atau diulang sesuai tahap kegagalan.</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9D">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Tidak ada fallback ke model lain; retry menggunakan konfigurasi dan checkpoint yang sama.</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9E">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Log dan hash artefak memungkinkan penelusuran ulang.</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9F">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Perubahan konfigurasi selama run tidak diizinkan.</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A0">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Konfigurasi yang disimpan bersama run_id tetap menjadi versi otoritatif.</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A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Konfigurasi dibekukan sebelum training dimulai.</w:t>
            </w:r>
            <w:r>
              <w:rPr>
                <w:rtl w:val="0"/>
              </w:rPr>
            </w:r>
          </w:p>
        </w:tc>
      </w:tr>
    </w:tbl>
    <w:p w14:paraId="000000A2">
      <w:pPr>
        <w:pStyle w:val="Heading1"/>
        <w:spacing w:before="0" w:line="269" w:lineRule="auto"/>
        <w:rPr>
          <w:rFonts w:ascii="Helvetica Neue" w:cs="Helvetica Neue" w:eastAsia="Helvetica Neue" w:hAnsi="Helvetica Neue"/>
          <w:color w:val="000000"/>
        </w:rPr>
      </w:pPr>
      <w:r>
        <w:rPr>
          <w:color w:val="000000"/>
          <w:rtl w:val="0"/>
        </w:rPr>
      </w:r>
    </w:p>
    <w:p w14:paraId="000000A3">
      <w:pPr>
        <w:pStyle w:val="Heading1"/>
        <w:rPr>
          <w:rFonts w:ascii="Helvetica Neue" w:cs="Helvetica Neue" w:eastAsia="Helvetica Neue" w:hAnsi="Helvetica Neue"/>
        </w:rPr>
      </w:pPr>
      <w:r>
        <w:rPr>
          <w:rFonts w:ascii="Helvetica Neue" w:cs="Helvetica Neue" w:eastAsia="Helvetica Neue" w:hAnsi="Helvetica Neue"/>
          <w:color w:val="000000"/>
          <w:rtl w:val="0"/>
        </w:rPr>
        <w:t xml:space="preserve">8. Security and Privacy Considerations</w:t>
      </w:r>
    </w:p>
    <w:p w14:paraId="000000A4">
      <w:pPr>
        <w:spacing w:after="0" w:line="96" w:lineRule="auto"/>
        <w:rPr>
          <w:rFonts w:ascii="Helvetica Neue" w:cs="Helvetica Neue" w:eastAsia="Helvetica Neue" w:hAnsi="Helvetica Neue"/>
        </w:rPr>
      </w:pPr>
      <w:r>
        <w:rPr>
          <w:rtl w:val="0"/>
        </w:rPr>
      </w:r>
    </w:p>
    <w:p w14:paraId="000000A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Akses ke citra dan manifest dibatasi pada peneliti/pembimbing; ID pasien dipakai untuk split dan tidak ditampilkan dalam laporan publik.</w:t>
      </w:r>
      <w:r>
        <w:rPr>
          <w:rtl w:val="0"/>
        </w:rPr>
      </w:r>
    </w:p>
    <w:p w14:paraId="000000A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t>Simpan hanya identifier dan artefak yang diperlukan; jangan menulis informasi identitas langsung ke log atau gambar Layer-CAM.</w:t>
      </w:r>
    </w:p>
    <w:p w14:paraId="000000A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Dataset dan kredensial penyimpanan tidak dimasukkan ke repository publik; konfigurasi rahasia dipisahkan dari laporan.</w:t>
      </w:r>
      <w:r>
        <w:rPr>
          <w:rtl w:val="0"/>
        </w:rPr>
      </w:r>
    </w:p>
    <w:p w14:paraId="000000A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Mode default adalah offline dan read-only terhadap dataset; debugging menggunakan salinan terkontrol.</w:t>
      </w:r>
      <w:r>
        <w:rPr>
          <w:rtl w:val="0"/>
        </w:rPr>
      </w:r>
    </w:p>
    <w:p w14:paraId="000000A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Pertahankan manifest, split, konfigurasi, checkpoint, dan log sesuai kebutuhan audit penelitian; hapus salinan yang tidak diperlukan.</w:t>
      </w:r>
      <w:r>
        <w:rPr>
          <w:rtl w:val="0"/>
        </w:rPr>
      </w:r>
    </w:p>
    <w:p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192" w:lineRule="auto"/>
        <w:ind w:left="0" w:right="0" w:firstLine="0"/>
        <w:jc w:val="both"/>
        <w:rPr>
          <w:rFonts w:ascii="Helvetica Neue" w:cs="Helvetica Neue" w:eastAsia="Helvetica Neue" w:hAnsi="Helvetica Neue"/>
          <w:i w:val="0"/>
          <w:iCs w:val="0"/>
          <w:smallCaps w:val="0"/>
          <w:strike w:val="0"/>
          <w:color w:val="1e252e"/>
          <w:sz w:val="20"/>
          <w:szCs w:val="20"/>
          <w:u w:val="none"/>
          <w:shd w:fill="auto" w:val="clear"/>
          <w:vertAlign w:val="baseline"/>
        </w:rPr>
      </w:pPr>
      <w:r>
        <w:rPr>
          <w:rtl w:val="0"/>
        </w:rPr>
      </w:r>
    </w:p>
    <w:p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192" w:lineRule="auto"/>
        <w:ind w:left="0" w:right="0" w:firstLine="0"/>
        <w:jc w:val="both"/>
        <w:rPr>
          <w:rFonts w:ascii="Helvetica Neue" w:cs="Helvetica Neue" w:eastAsia="Helvetica Neue" w:hAnsi="Helvetica Neue"/>
          <w:i w:val="0"/>
          <w:iCs w:val="0"/>
          <w:smallCaps w:val="0"/>
          <w:strike w:val="0"/>
          <w:color w:val="1e252e"/>
          <w:sz w:val="20"/>
          <w:szCs w:val="20"/>
          <w:u w:val="none"/>
          <w:shd w:fill="auto" w:val="clear"/>
          <w:vertAlign w:val="baseline"/>
        </w:rPr>
      </w:pPr>
      <w:r>
        <w:rPr>
          <w:rtl w:val="0"/>
        </w:rPr>
      </w:r>
    </w:p>
    <w:p w14:paraId="000000AC">
      <w:pPr>
        <w:pStyle w:val="Heading1"/>
        <w:rPr>
          <w:rFonts w:ascii="Helvetica Neue" w:cs="Helvetica Neue" w:eastAsia="Helvetica Neue" w:hAnsi="Helvetica Neue"/>
        </w:rPr>
      </w:pPr>
      <w:r>
        <w:rPr>
          <w:rFonts w:ascii="Helvetica Neue" w:cs="Helvetica Neue" w:eastAsia="Helvetica Neue" w:hAnsi="Helvetica Neue"/>
          <w:color w:val="000000"/>
          <w:rtl w:val="0"/>
        </w:rPr>
        <w:t xml:space="preserve">9.  Operational Readiness</w:t>
      </w:r>
    </w:p>
    <w:tbl>
      <w:tblPr>
        <w:tblStyle w:val="Table7"/>
        <w:tblW w:w="10440.0" w:type="dxa"/>
        <w:jc w:val="center"/>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400"/>
      </w:tblPr>
      <w:tblGrid>
        <w:gridCol w:w="2268"/>
        <w:gridCol w:w="3521"/>
        <w:gridCol w:w="2306"/>
        <w:gridCol w:w="2345"/>
        <w:tblGridChange w:id="0">
          <w:tblGrid>
            <w:gridCol w:w="2268"/>
            <w:gridCol w:w="3521"/>
            <w:gridCol w:w="2306"/>
            <w:gridCol w:w="2345"/>
          </w:tblGrid>
        </w:tblGridChange>
      </w:tblGrid>
      <w:tr>
        <w:trPr>
          <w:cantSplit w:val="1"/>
          <w:tblHeader w:val="1"/>
        </w:trPr>
        <w:tc>
          <w:tcPr>
            <w:tcBorders>
              <w:top w:color="ffffff" w:space="0" w:sz="8" w:val="single"/>
              <w:left w:color="ffffff" w:space="0" w:sz="8" w:val="single"/>
              <w:bottom w:color="ffffff" w:space="0" w:sz="8" w:val="single"/>
              <w:right w:color="ffffff" w:space="0" w:sz="8" w:val="single"/>
            </w:tcBorders>
            <w:shd w:fill="082a4a" w:val="clear"/>
            <w:tcMar>
              <w:top w:w="110.0" w:type="dxa"/>
              <w:left w:w="120.0" w:type="dxa"/>
              <w:bottom w:w="110.0" w:type="dxa"/>
              <w:right w:w="120.0" w:type="dxa"/>
            </w:tcMar>
            <w:vAlign w:val="center"/>
          </w:tcPr>
          <w:p w14:paraId="000000AD">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Signal</w:t>
            </w:r>
            <w:r>
              <w:rPr>
                <w:rtl w:val="0"/>
              </w:rPr>
            </w:r>
          </w:p>
        </w:tc>
        <w:tc>
          <w:tcPr>
            <w:tcBorders>
              <w:top w:color="ffffff" w:space="0" w:sz="8" w:val="single"/>
              <w:left w:color="ffffff" w:space="0" w:sz="8" w:val="single"/>
              <w:bottom w:color="ffffff" w:space="0" w:sz="8" w:val="single"/>
              <w:right w:color="ffffff" w:space="0" w:sz="8" w:val="single"/>
            </w:tcBorders>
            <w:shd w:fill="082a4a" w:val="clear"/>
            <w:tcMar>
              <w:top w:w="110.0" w:type="dxa"/>
              <w:left w:w="120.0" w:type="dxa"/>
              <w:bottom w:w="110.0" w:type="dxa"/>
              <w:right w:w="120.0" w:type="dxa"/>
            </w:tcMar>
            <w:vAlign w:val="center"/>
          </w:tcPr>
          <w:p w14:paraId="000000AE">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SLO or alert</w:t>
            </w:r>
            <w:r>
              <w:rPr>
                <w:rtl w:val="0"/>
              </w:rPr>
            </w:r>
          </w:p>
        </w:tc>
        <w:tc>
          <w:tcPr>
            <w:tcBorders>
              <w:top w:color="ffffff" w:space="0" w:sz="8" w:val="single"/>
              <w:left w:color="ffffff" w:space="0" w:sz="8" w:val="single"/>
              <w:bottom w:color="ffffff" w:space="0" w:sz="8" w:val="single"/>
              <w:right w:color="ffffff" w:space="0" w:sz="8" w:val="single"/>
            </w:tcBorders>
            <w:shd w:fill="082a4a" w:val="clear"/>
            <w:tcMar>
              <w:top w:w="110.0" w:type="dxa"/>
              <w:left w:w="120.0" w:type="dxa"/>
              <w:bottom w:w="110.0" w:type="dxa"/>
              <w:right w:w="120.0" w:type="dxa"/>
            </w:tcMar>
            <w:vAlign w:val="center"/>
          </w:tcPr>
          <w:p w14:paraId="000000AF">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Owner</w:t>
            </w:r>
            <w:r>
              <w:rPr>
                <w:rtl w:val="0"/>
              </w:rPr>
            </w:r>
          </w:p>
        </w:tc>
        <w:tc>
          <w:tcPr>
            <w:tcBorders>
              <w:top w:color="ffffff" w:space="0" w:sz="8" w:val="single"/>
              <w:left w:color="ffffff" w:space="0" w:sz="8" w:val="single"/>
              <w:bottom w:color="ffffff" w:space="0" w:sz="8" w:val="single"/>
              <w:right w:color="ffffff" w:space="0" w:sz="8" w:val="single"/>
            </w:tcBorders>
            <w:shd w:fill="082a4a" w:val="clear"/>
            <w:tcMar>
              <w:top w:w="110.0" w:type="dxa"/>
              <w:left w:w="120.0" w:type="dxa"/>
              <w:bottom w:w="110.0" w:type="dxa"/>
              <w:right w:w="120.0" w:type="dxa"/>
            </w:tcMar>
            <w:vAlign w:val="center"/>
          </w:tcPr>
          <w:p w14:paraId="000000B0">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sz w:val="16"/>
                <w:szCs w:val="16"/>
                <w:rtl w:val="0"/>
              </w:rPr>
              <w:t xml:space="preserve">Launch gate</w:t>
            </w:r>
            <w:r>
              <w:rPr>
                <w:rtl w:val="0"/>
              </w:rPr>
            </w:r>
          </w:p>
        </w:tc>
      </w:tr>
      <w:tr>
        <w:trPr>
          <w:cantSplit w:val="1"/>
          <w:tblHeader w:val="0"/>
        </w:trPr>
        <w:tc>
          <w:tcPr>
            <w:tcBorders>
              <w:top w:color="ffffff" w:space="0" w:sz="8" w:val="single"/>
              <w:left w:color="ffffff" w:space="0" w:sz="8" w:val="single"/>
              <w:bottom w:color="ffffff" w:space="0" w:sz="8" w:val="single"/>
              <w:right w:color="ffffff" w:space="0" w:sz="8" w:val="single"/>
            </w:tcBorders>
            <w:shd w:fill="e6f0f8" w:val="clear"/>
            <w:tcMar>
              <w:top w:w="110.0" w:type="dxa"/>
              <w:left w:w="120.0" w:type="dxa"/>
              <w:bottom w:w="110.0" w:type="dxa"/>
              <w:right w:w="120.0" w:type="dxa"/>
            </w:tcMar>
            <w:vAlign w:val="center"/>
          </w:tcPr>
          <w:p w14:paraId="000000B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Run completion</w:t>
            </w:r>
            <w:r>
              <w:rPr>
                <w:rtl w:val="0"/>
              </w:rPr>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14:paraId="000000B2">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100% tahap utama selesai tanpa input invalid</w:t>
            </w:r>
            <w:r>
              <w:rPr>
                <w:rtl w:val="0"/>
              </w:rPr>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14:paraId="000000B3">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Peneliti</w:t>
            </w:r>
            <w:r>
              <w:rPr>
                <w:rtl w:val="0"/>
              </w:rPr>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14:paraId="000000B4">
            <w:pPr>
              <w:spacing w:after="25" w:before="20" w:line="285" w:lineRule="auto"/>
              <w:rPr>
                <w:rFonts w:ascii="Helvetica Neue" w:cs="Helvetica Neue" w:eastAsia="Helvetica Neue" w:hAnsi="Helvetica Neue"/>
                <w:sz w:val="16"/>
                <w:szCs w:val="16"/>
              </w:rPr>
            </w:pPr>
            <w:r>
              <w:rPr>
                <w:rFonts w:ascii="Helvetica Neue" w:cs="Helvetica Neue" w:eastAsia="Helvetica Neue" w:hAnsi="Helvetica Neue"/>
                <w:color w:val="233447"/>
                <w:sz w:val="16"/>
                <w:szCs w:val="16"/>
                <w:rtl w:val="0"/>
              </w:rPr>
              <w:t xml:space="preserve">Required</w:t>
            </w:r>
            <w:r>
              <w:rPr>
                <w:rtl w:val="0"/>
              </w:rPr>
            </w:r>
          </w:p>
        </w:tc>
      </w:tr>
      <w:tr>
        <w:trPr>
          <w:cantSplit w:val="1"/>
          <w:tblHeader w:val="0"/>
        </w:trPr>
        <w:tc>
          <w:tcPr>
            <w:tcBorders>
              <w:top w:color="ffffff" w:space="0" w:sz="8" w:val="single"/>
              <w:left w:color="ffffff" w:space="0" w:sz="8" w:val="single"/>
              <w:bottom w:color="ffffff" w:space="0" w:sz="8" w:val="single"/>
              <w:right w:color="ffffff" w:space="0" w:sz="8" w:val="single"/>
            </w:tcBorders>
            <w:shd w:fill="e6f0f8" w:val="clear"/>
            <w:tcMar>
              <w:top w:w="110.0" w:type="dxa"/>
              <w:left w:w="120.0" w:type="dxa"/>
              <w:bottom w:w="110.0" w:type="dxa"/>
              <w:right w:w="120.0" w:type="dxa"/>
            </w:tcMar>
            <w:vAlign w:val="center"/>
          </w:tcPr>
          <w:p w14:paraId="000000B5">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Training/evaluation duration</w:t>
            </w:r>
            <w:r>
              <w:rPr>
                <w:rtl w:val="0"/>
              </w:rPr>
            </w:r>
          </w:p>
        </w:tc>
        <w:tc>
          <w:tcPr>
            <w:tcBorders>
              <w:top w:color="ffffff" w:space="0" w:sz="8" w:val="single"/>
              <w:left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B6">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Catat durasi per run; alarm bila menyimpang dari baseline</w:t>
            </w:r>
            <w:r>
              <w:rPr>
                <w:rtl w:val="0"/>
              </w:rPr>
            </w:r>
          </w:p>
        </w:tc>
        <w:tc>
          <w:tcPr>
            <w:tcBorders>
              <w:top w:color="ffffff" w:space="0" w:sz="8" w:val="single"/>
              <w:left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B7">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Peneliti</w:t>
            </w:r>
            <w:r>
              <w:rPr>
                <w:rtl w:val="0"/>
              </w:rPr>
            </w:r>
          </w:p>
        </w:tc>
        <w:tc>
          <w:tcPr>
            <w:tcBorders>
              <w:top w:color="ffffff" w:space="0" w:sz="8" w:val="single"/>
              <w:left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B8">
            <w:pPr>
              <w:spacing w:after="25" w:before="20" w:line="285" w:lineRule="auto"/>
              <w:rPr>
                <w:rFonts w:ascii="Helvetica Neue" w:cs="Helvetica Neue" w:eastAsia="Helvetica Neue" w:hAnsi="Helvetica Neue"/>
                <w:sz w:val="16"/>
                <w:szCs w:val="16"/>
              </w:rPr>
            </w:pPr>
            <w:r>
              <w:rPr>
                <w:rFonts w:ascii="Helvetica Neue" w:cs="Helvetica Neue" w:eastAsia="Helvetica Neue" w:hAnsi="Helvetica Neue"/>
                <w:color w:val="233447"/>
                <w:sz w:val="16"/>
                <w:szCs w:val="16"/>
                <w:rtl w:val="0"/>
              </w:rPr>
              <w:t xml:space="preserve">Required</w:t>
            </w:r>
            <w:r>
              <w:rPr>
                <w:rtl w:val="0"/>
              </w:rPr>
            </w:r>
          </w:p>
        </w:tc>
      </w:tr>
      <w:tr>
        <w:trPr>
          <w:cantSplit w:val="1"/>
          <w:tblHeader w:val="0"/>
        </w:trPr>
        <w:tc>
          <w:tcPr>
            <w:tcBorders>
              <w:top w:color="ffffff" w:space="0" w:sz="8" w:val="single"/>
              <w:left w:color="ffffff" w:space="0" w:sz="8" w:val="single"/>
              <w:bottom w:color="ffffff" w:space="0" w:sz="8" w:val="single"/>
              <w:right w:color="ffffff" w:space="0" w:sz="8" w:val="single"/>
            </w:tcBorders>
            <w:shd w:fill="e6f0f8" w:val="clear"/>
            <w:tcMar>
              <w:top w:w="110.0" w:type="dxa"/>
              <w:left w:w="120.0" w:type="dxa"/>
              <w:bottom w:w="110.0" w:type="dxa"/>
              <w:right w:w="120.0" w:type="dxa"/>
            </w:tcMar>
            <w:vAlign w:val="center"/>
          </w:tcPr>
          <w:p w14:paraId="000000B9">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Failed run rate</w:t>
            </w:r>
            <w:r>
              <w:rPr>
                <w:rtl w:val="0"/>
              </w:rPr>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14:paraId="000000BA">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Tidak ada hasil dipromosikan dari run gagal</w:t>
            </w:r>
            <w:r>
              <w:rPr>
                <w:rtl w:val="0"/>
              </w:rPr>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14:paraId="000000BB">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Peneliti</w:t>
            </w:r>
            <w:r>
              <w:rPr>
                <w:rtl w:val="0"/>
              </w:rPr>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14:paraId="000000BC">
            <w:pPr>
              <w:spacing w:after="25" w:before="20" w:line="285" w:lineRule="auto"/>
              <w:rPr>
                <w:rFonts w:ascii="Helvetica Neue" w:cs="Helvetica Neue" w:eastAsia="Helvetica Neue" w:hAnsi="Helvetica Neue"/>
                <w:sz w:val="16"/>
                <w:szCs w:val="16"/>
              </w:rPr>
            </w:pPr>
            <w:r>
              <w:rPr>
                <w:rFonts w:ascii="Helvetica Neue" w:cs="Helvetica Neue" w:eastAsia="Helvetica Neue" w:hAnsi="Helvetica Neue"/>
                <w:color w:val="233447"/>
                <w:sz w:val="16"/>
                <w:szCs w:val="16"/>
                <w:rtl w:val="0"/>
              </w:rPr>
              <w:t xml:space="preserve">Required</w:t>
            </w:r>
            <w:r>
              <w:rPr>
                <w:rtl w:val="0"/>
              </w:rPr>
            </w:r>
          </w:p>
        </w:tc>
      </w:tr>
      <w:tr>
        <w:trPr>
          <w:cantSplit w:val="1"/>
          <w:tblHeader w:val="0"/>
        </w:trPr>
        <w:tc>
          <w:tcPr>
            <w:tcBorders>
              <w:top w:color="ffffff" w:space="0" w:sz="8" w:val="single"/>
              <w:left w:color="ffffff" w:space="0" w:sz="8" w:val="single"/>
              <w:bottom w:color="ffffff" w:space="0" w:sz="8" w:val="single"/>
              <w:right w:color="ffffff" w:space="0" w:sz="8" w:val="single"/>
            </w:tcBorders>
            <w:shd w:fill="e6f0f8" w:val="clear"/>
            <w:tcMar>
              <w:top w:w="110.0" w:type="dxa"/>
              <w:left w:w="120.0" w:type="dxa"/>
              <w:bottom w:w="110.0" w:type="dxa"/>
              <w:right w:w="120.0" w:type="dxa"/>
            </w:tcMar>
            <w:vAlign w:val="center"/>
          </w:tcPr>
          <w:p w14:paraId="000000BD">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Configuration drift</w:t>
            </w:r>
            <w:r>
              <w:rPr>
                <w:rtl w:val="0"/>
              </w:rPr>
            </w:r>
          </w:p>
        </w:tc>
        <w:tc>
          <w:tcPr>
            <w:tcBorders>
              <w:top w:color="ffffff" w:space="0" w:sz="8" w:val="single"/>
              <w:left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BE">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Hash konfigurasi/checkpoint berbeda dari run yang direferensikan</w:t>
            </w:r>
            <w:r>
              <w:rPr>
                <w:rtl w:val="0"/>
              </w:rPr>
            </w:r>
          </w:p>
        </w:tc>
        <w:tc>
          <w:tcPr>
            <w:tcBorders>
              <w:top w:color="ffffff" w:space="0" w:sz="8" w:val="single"/>
              <w:left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BF">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Peneliti</w:t>
            </w:r>
            <w:r>
              <w:rPr>
                <w:rtl w:val="0"/>
              </w:rPr>
            </w:r>
          </w:p>
        </w:tc>
        <w:tc>
          <w:tcPr>
            <w:tcBorders>
              <w:top w:color="ffffff" w:space="0" w:sz="8" w:val="single"/>
              <w:left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C0">
            <w:pPr>
              <w:spacing w:after="25" w:before="20" w:line="285" w:lineRule="auto"/>
              <w:rPr>
                <w:rFonts w:ascii="Helvetica Neue" w:cs="Helvetica Neue" w:eastAsia="Helvetica Neue" w:hAnsi="Helvetica Neue"/>
                <w:sz w:val="16"/>
                <w:szCs w:val="16"/>
              </w:rPr>
            </w:pPr>
            <w:r>
              <w:rPr>
                <w:rFonts w:ascii="Helvetica Neue" w:cs="Helvetica Neue" w:eastAsia="Helvetica Neue" w:hAnsi="Helvetica Neue"/>
                <w:color w:val="233447"/>
                <w:sz w:val="16"/>
                <w:szCs w:val="16"/>
                <w:rtl w:val="0"/>
              </w:rPr>
              <w:t xml:space="preserve">Required</w:t>
            </w:r>
            <w:r>
              <w:rPr>
                <w:rtl w:val="0"/>
              </w:rPr>
            </w:r>
          </w:p>
        </w:tc>
      </w:tr>
      <w:tr>
        <w:trPr>
          <w:cantSplit w:val="1"/>
          <w:tblHeader w:val="0"/>
        </w:trPr>
        <w:tc>
          <w:tcPr>
            <w:tcBorders>
              <w:top w:color="ffffff" w:space="0" w:sz="8" w:val="single"/>
              <w:left w:color="ffffff" w:space="0" w:sz="8" w:val="single"/>
              <w:bottom w:color="ffffff" w:space="0" w:sz="8" w:val="single"/>
              <w:right w:color="ffffff" w:space="0" w:sz="8" w:val="single"/>
            </w:tcBorders>
            <w:shd w:fill="e6f0f8" w:val="clear"/>
            <w:tcMar>
              <w:top w:w="110.0" w:type="dxa"/>
              <w:left w:w="120.0" w:type="dxa"/>
              <w:bottom w:w="110.0" w:type="dxa"/>
              <w:right w:w="120.0" w:type="dxa"/>
            </w:tcMar>
            <w:vAlign w:val="center"/>
          </w:tcPr>
          <w:p w14:paraId="000000C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Reproducibility check</w:t>
            </w:r>
            <w:r>
              <w:rPr>
                <w:rtl w:val="0"/>
              </w:rPr>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r>
              <w:t>Ulangi seluruh loss pada seed 52 dan 62 sebagai analisis penguatan</w:t>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14:paraId="000000C3">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Peneliti</w:t>
            </w:r>
            <w:r>
              <w:rPr>
                <w:rtl w:val="0"/>
              </w:rPr>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r>
              <w:t>Recommended</w:t>
            </w:r>
          </w:p>
        </w:tc>
      </w:tr>
      <w:tr>
        <w:trPr>
          <w:cantSplit w:val="1"/>
          <w:tblHeader w:val="0"/>
        </w:trPr>
        <w:tc>
          <w:tcPr>
            <w:gridSpan w:val="4"/>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14:paraId="000000C5">
            <w:pPr>
              <w:spacing w:after="25" w:before="20" w:line="285" w:lineRule="auto"/>
              <w:rPr>
                <w:rFonts w:ascii="Helvetica Neue" w:cs="Helvetica Neue" w:eastAsia="Helvetica Neue" w:hAnsi="Helvetica Neue"/>
              </w:rPr>
            </w:pPr>
            <w:r>
              <w:t>Rollout constraint: tidak ada deployment produksi. Promosi hasil hanya setelah validasi split pasien, konfigurasi, metrik, dan review Layer-CAM selesai.</w:t>
            </w:r>
          </w:p>
        </w:tc>
      </w:tr>
    </w:tbl>
    <w:p w14:paraId="000000C9">
      <w:pPr>
        <w:pStyle w:val="Heading1"/>
        <w:spacing w:before="0" w:lineRule="auto"/>
        <w:rPr>
          <w:rFonts w:ascii="Helvetica Neue" w:cs="Helvetica Neue" w:eastAsia="Helvetica Neue" w:hAnsi="Helvetica Neue"/>
          <w:color w:val="000000"/>
        </w:rPr>
      </w:pPr>
      <w:r>
        <w:rPr>
          <w:color w:val="000000"/>
          <w:rtl w:val="0"/>
        </w:rPr>
      </w:r>
    </w:p>
    <w:p w14:paraId="000000CA">
      <w:pPr>
        <w:pStyle w:val="Heading1"/>
        <w:rPr>
          <w:rFonts w:ascii="Helvetica Neue" w:cs="Helvetica Neue" w:eastAsia="Helvetica Neue" w:hAnsi="Helvetica Neue"/>
        </w:rPr>
      </w:pPr>
      <w:r>
        <w:rPr>
          <w:rFonts w:ascii="Helvetica Neue" w:cs="Helvetica Neue" w:eastAsia="Helvetica Neue" w:hAnsi="Helvetica Neue"/>
          <w:color w:val="000000"/>
          <w:rtl w:val="0"/>
        </w:rPr>
        <w:t xml:space="preserve">10. Alternatives Considered</w:t>
      </w:r>
    </w:p>
    <w:p w14:paraId="000000CB">
      <w:pPr>
        <w:spacing w:after="0" w:line="14.399999999999999" w:lineRule="auto"/>
        <w:rPr>
          <w:rFonts w:ascii="Helvetica Neue" w:cs="Helvetica Neue" w:eastAsia="Helvetica Neue" w:hAnsi="Helvetica Neue"/>
        </w:rPr>
      </w:pPr>
      <w:r>
        <w:rPr>
          <w:rtl w:val="0"/>
        </w:rPr>
      </w:r>
    </w:p>
    <w:p w14:paraId="000000CC">
      <w:pPr>
        <w:spacing w:after="0" w:line="192" w:lineRule="auto"/>
        <w:rPr>
          <w:rFonts w:ascii="Helvetica Neue" w:cs="Helvetica Neue" w:eastAsia="Helvetica Neue" w:hAnsi="Helvetica Neue"/>
        </w:rPr>
      </w:pPr>
      <w:r>
        <w:rPr>
          <w:rtl w:val="0"/>
        </w:rPr>
      </w:r>
    </w:p>
    <w:tbl>
      <w:tblPr>
        <w:tblStyle w:val="Table8"/>
        <w:tblW w:w="1044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3303"/>
        <w:gridCol w:w="3313"/>
        <w:gridCol w:w="3824"/>
        <w:tblGridChange w:id="0">
          <w:tblGrid>
            <w:gridCol w:w="3303"/>
            <w:gridCol w:w="3313"/>
            <w:gridCol w:w="3824"/>
          </w:tblGrid>
        </w:tblGridChange>
      </w:tblGrid>
      <w:tr>
        <w:trPr>
          <w:cantSplit w:val="1"/>
          <w:tblHeader w:val="1"/>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CD">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Alternative</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CE">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Why it was considered</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CF">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Why it was not selected</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D0">
            <w:pPr>
              <w:spacing w:after="25" w:before="20" w:line="285" w:lineRule="auto"/>
              <w:rPr>
                <w:rFonts w:ascii="Helvetica Neue" w:cs="Helvetica Neue" w:eastAsia="Helvetica Neue" w:hAnsi="Helvetica Neue"/>
              </w:rPr>
            </w:pPr>
            <w:r>
              <w:t>BCE</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D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Sederhana, stabil, dan menjadi baseline umum.</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D2">
            <w:pPr>
              <w:spacing w:after="25" w:before="20" w:line="285" w:lineRule="auto"/>
              <w:rPr>
                <w:rFonts w:ascii="Helvetica Neue" w:cs="Helvetica Neue" w:eastAsia="Helvetica Neue" w:hAnsi="Helvetica Neue"/>
              </w:rPr>
            </w:pPr>
            <w:r>
              <w:t>Menjadi baseline standar, tetapi tidak cukup untuk menentukan loss terbaik tanpa pembanding.</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D3">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Weighted BCE</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D4">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Mudah diterapkan dengan bobot berdasarkan frekuensi kelas.</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D5">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Hasil sensitif terhadap cara memilih bobot dan belum memisahkan positive-negative imbalance seperti ASL.</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D6">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Hybrid BCE-Focal</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D7">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Dapat mengurangi pengaruh contoh mudah dan telah digunakan dalam studi fundus.</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D8">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Menambah pembanding tetapi dapat memperlebar scope dan membuat kontribusi loss lebih sulit dibaca.</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D9">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Arsitektur Transformer/multi-task</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DA">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Berpotensi menangkap hubungan global atau informasi pembuluh.</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DB">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Kompleksitas dan banyak komponen mengurangi kemampuan mengisolasi pengaruh fungsi loss.</w:t>
            </w:r>
            <w:r>
              <w:rPr>
                <w:rtl w:val="0"/>
              </w:rPr>
            </w:r>
          </w:p>
        </w:tc>
      </w:tr>
      <w:tr>
        <w:tc>
          <w:tcPr>
            <w:tcW w:type="dxa" w:w="3303"/>
            <w:vAlign w:val="center"/>
          </w:tcPr>
          <w:p>
            <w:r>
              <w:rPr>
                <w:b w:val="0"/>
                <w:sz w:val="17"/>
              </w:rPr>
              <w:t>PolyLoss</w:t>
            </w:r>
          </w:p>
        </w:tc>
        <w:tc>
          <w:tcPr>
            <w:tcW w:type="dxa" w:w="3313"/>
            <w:vAlign w:val="center"/>
          </w:tcPr>
          <w:p>
            <w:r>
              <w:rPr>
                <w:b w:val="0"/>
                <w:sz w:val="17"/>
              </w:rPr>
              <w:t>Memberi modifikasi fleksibel pada loss klasifikasi dan telah kompetitif pada studi retinal multi-label.</w:t>
            </w:r>
          </w:p>
        </w:tc>
        <w:tc>
          <w:tcPr>
            <w:tcW w:type="dxa" w:w="3824"/>
            <w:vAlign w:val="center"/>
          </w:tcPr>
          <w:p>
            <w:r>
              <w:t>Eksperimen aktual menggunakan epsilon 1; pengaruh nilai epsilon lain belum diuji.</w:t>
            </w:r>
          </w:p>
        </w:tc>
      </w:tr>
    </w:tbl>
    <w:p w14:paraId="000000DC">
      <w:pPr>
        <w:pStyle w:val="Heading1"/>
        <w:spacing w:before="0" w:line="269" w:lineRule="auto"/>
        <w:rPr>
          <w:rFonts w:ascii="Helvetica Neue" w:cs="Helvetica Neue" w:eastAsia="Helvetica Neue" w:hAnsi="Helvetica Neue"/>
          <w:color w:val="000000"/>
        </w:rPr>
      </w:pPr>
      <w:r>
        <w:rPr>
          <w:color w:val="000000"/>
          <w:rtl w:val="0"/>
        </w:rPr>
      </w:r>
    </w:p>
    <w:p w14:paraId="000000DD">
      <w:pPr>
        <w:pStyle w:val="Heading1"/>
        <w:rPr>
          <w:rFonts w:ascii="Helvetica Neue" w:cs="Helvetica Neue" w:eastAsia="Helvetica Neue" w:hAnsi="Helvetica Neue"/>
        </w:rPr>
      </w:pPr>
      <w:r>
        <w:rPr>
          <w:rFonts w:ascii="Helvetica Neue" w:cs="Helvetica Neue" w:eastAsia="Helvetica Neue" w:hAnsi="Helvetica Neue"/>
          <w:color w:val="000000"/>
          <w:rtl w:val="0"/>
        </w:rPr>
        <w:t xml:space="preserve">11. Open Questions</w:t>
      </w:r>
    </w:p>
    <w:p w14:paraId="000000D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t>Backbone tetap menggunakan shared ResNet50 pretrained ImageNet. Komponen fusion dan routing dikembangkan melalui A0-A6.</w:t>
      </w:r>
    </w:p>
    <w:p w14:paraId="000000D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t>Apakah ASL tetap menjadi loss terbaik ketika baseline utama dan LEBER diuji pada beberapa seed?</w:t>
      </w:r>
    </w:p>
    <w:p w14:paraId="000000E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t>Berapa nilai supervisi kualitas expert yang memberi kestabilan router tanpa mendominasi objective utama?</w:t>
      </w:r>
    </w:p>
    <w:p w14:paraId="000000E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t>Bagaimana sampel Layer-CAM dan ringkasan bobot router dipilih secara konsisten untuk setiap label?</w:t>
      </w:r>
    </w:p>
    <w:p w14:paraId="000000E2">
      <w:pPr>
        <w:pStyle w:val="Heading1"/>
        <w:spacing w:before="0" w:lineRule="auto"/>
        <w:rPr>
          <w:rFonts w:ascii="Helvetica Neue" w:cs="Helvetica Neue" w:eastAsia="Helvetica Neue" w:hAnsi="Helvetica Neue"/>
          <w:color w:val="000000"/>
        </w:rPr>
      </w:pPr>
      <w:r>
        <w:rPr>
          <w:color w:val="000000"/>
          <w:rtl w:val="0"/>
        </w:rPr>
      </w:r>
    </w:p>
    <w:p w14:paraId="000000E3">
      <w:pPr>
        <w:pStyle w:val="Heading1"/>
        <w:rPr>
          <w:rFonts w:ascii="Helvetica Neue" w:cs="Helvetica Neue" w:eastAsia="Helvetica Neue" w:hAnsi="Helvetica Neue"/>
        </w:rPr>
      </w:pPr>
      <w:r>
        <w:rPr>
          <w:rFonts w:ascii="Helvetica Neue" w:cs="Helvetica Neue" w:eastAsia="Helvetica Neue" w:hAnsi="Helvetica Neue"/>
          <w:color w:val="000000"/>
          <w:rtl w:val="0"/>
        </w:rPr>
        <w:t xml:space="preserve">12. Decision and Next Steps</w:t>
      </w:r>
    </w:p>
    <w:p w14:paraId="000000E4">
      <w:pPr>
        <w:spacing w:after="110" w:line="300" w:lineRule="auto"/>
        <w:jc w:val="both"/>
        <w:rPr>
          <w:rFonts w:ascii="Helvetica Neue" w:cs="Helvetica Neue" w:eastAsia="Helvetica Neue" w:hAnsi="Helvetica Neue"/>
        </w:rPr>
      </w:pPr>
      <w:r>
        <w:t>Keputusan terkini adalah mempertahankan studi lima loss sebagai tahap pendahuluan dan mengembangkan LEBER sebagai kontribusi utama. Tahap berikutnya adalah implementasi A0-A6, unit test pertukaran input, training beberapa seed, evaluasi test setelah konfigurasi dikunci, dan Layer-CAM.</w:t>
      </w:r>
    </w:p>
    <w:tbl>
      <w:tblPr>
        <w:tblStyle w:val="Table9"/>
        <w:tblW w:w="1044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2954"/>
        <w:gridCol w:w="3713"/>
        <w:gridCol w:w="3773"/>
        <w:tblGridChange w:id="0">
          <w:tblGrid>
            <w:gridCol w:w="2954"/>
            <w:gridCol w:w="3713"/>
            <w:gridCol w:w="3773"/>
          </w:tblGrid>
        </w:tblGridChange>
      </w:tblGrid>
      <w:tr>
        <w:trPr>
          <w:cantSplit w:val="1"/>
          <w:tblHeader w:val="1"/>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E5">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Milestone</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E6">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Deliverable</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E7">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Exit criteria</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E8">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M1</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E9">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Pipeline ODIR-5K + baseline BCE</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EA">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Split pasien tervalidasi; training, evaluasi, dan log selesai tanpa error.</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EB">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M2</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r>
              <w:t>Eksperimen lima fungsi loss dan laporan per kelas</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r>
              <w:t>Training, validation, testing, threshold, checkpoint, dan hasil per kelas telah tersimpan untuk seluruh loss.</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EE">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M3</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EF">
            <w:pPr>
              <w:spacing w:after="25" w:before="20" w:line="285" w:lineRule="auto"/>
              <w:rPr>
                <w:rFonts w:ascii="Helvetica Neue" w:cs="Helvetica Neue" w:eastAsia="Helvetica Neue" w:hAnsi="Helvetica Neue"/>
              </w:rPr>
            </w:pPr>
            <w:r>
              <w:t>Analisis Layer-CAM pada sampel representatif</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r>
              <w:t>Belum selesai; artefak Layer-CAM belum tersedia.</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F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M4</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F2">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Penyusunan proposal dan pembahasan</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F3">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Metrik, keterbatasan, dan keputusan pembimbing terdokumentasi.</w:t>
            </w:r>
            <w:r>
              <w:rPr>
                <w:rtl w:val="0"/>
              </w:rPr>
            </w:r>
          </w:p>
        </w:tc>
      </w:tr>
    </w:tbl>
    <w:p w14:paraId="000000F4">
      <w:pPr>
        <w:spacing w:after="120" w:line="269" w:lineRule="auto"/>
        <w:rPr>
          <w:rFonts w:ascii="Helvetica Neue" w:cs="Helvetica Neue" w:eastAsia="Helvetica Neue" w:hAnsi="Helvetica Neue"/>
        </w:rPr>
      </w:pPr>
      <w:r>
        <w:rPr>
          <w:rtl w:val="0"/>
        </w:rPr>
      </w:r>
    </w:p>
    <w:p>
      <w:pPr>
        <w:pStyle w:val="Heading2"/>
      </w:pPr>
      <w:r>
        <w:rPr>
          <w:color w:val="000000"/>
        </w:rPr>
        <w:t>Status Eksperimen Aktual</w:t>
      </w:r>
    </w:p>
    <w:p>
      <w:r>
        <w:t>Kelima fungsi loss telah menjalani training, validation, dan testing menggunakan patient-level split dan seed 42 yang sama. Hasil berikut berasal dari checkpoint terbaik dan threshold per label yang ditetapkan melalui validation set.</w:t>
      </w:r>
    </w:p>
    <w:tbl>
      <w:tblPr>
        <w:tblStyle w:val="Table1"/>
        <w:tblW w:type="auto" w:w="0"/>
        <w:tblLook w:firstColumn="1" w:firstRow="1" w:lastColumn="0" w:lastRow="0" w:noHBand="0" w:noVBand="1" w:val="04A0"/>
      </w:tblPr>
      <w:tblGrid>
        <w:gridCol w:w="2556"/>
        <w:gridCol w:w="2556"/>
        <w:gridCol w:w="2556"/>
        <w:gridCol w:w="2556"/>
      </w:tblGrid>
      <w:tr>
        <w:tc>
          <w:tcPr>
            <w:tcW w:type="dxa" w:w="2556"/>
          </w:tcPr>
          <w:p>
            <w:r>
              <w:rPr>
                <w:b/>
              </w:rPr>
              <w:t>Fungsi loss</w:t>
            </w:r>
          </w:p>
        </w:tc>
        <w:tc>
          <w:tcPr>
            <w:tcW w:type="dxa" w:w="2556"/>
          </w:tcPr>
          <w:p>
            <w:r>
              <w:rPr>
                <w:b/>
              </w:rPr>
              <w:t>Validation Macro-F1</w:t>
            </w:r>
          </w:p>
        </w:tc>
        <w:tc>
          <w:tcPr>
            <w:tcW w:type="dxa" w:w="2556"/>
          </w:tcPr>
          <w:p>
            <w:r>
              <w:rPr>
                <w:b/>
              </w:rPr>
              <w:t>Test Macro-F1 delapan label</w:t>
            </w:r>
          </w:p>
        </w:tc>
        <w:tc>
          <w:tcPr>
            <w:tcW w:type="dxa" w:w="2556"/>
          </w:tcPr>
          <w:p>
            <w:r>
              <w:rPr>
                <w:b/>
              </w:rPr>
              <w:t>Test Macro-F1 enam penyakit</w:t>
            </w:r>
          </w:p>
        </w:tc>
      </w:tr>
      <w:tr>
        <w:tc>
          <w:tcPr>
            <w:tcW w:type="dxa" w:w="2556"/>
          </w:tcPr>
          <w:p>
            <w:r>
              <w:t>BCE</w:t>
            </w:r>
          </w:p>
        </w:tc>
        <w:tc>
          <w:tcPr>
            <w:tcW w:type="dxa" w:w="2556"/>
          </w:tcPr>
          <w:p>
            <w:r>
              <w:t>0,5943</w:t>
            </w:r>
          </w:p>
        </w:tc>
        <w:tc>
          <w:tcPr>
            <w:tcW w:type="dxa" w:w="2556"/>
          </w:tcPr>
          <w:p>
            <w:r>
              <w:t>0,5955</w:t>
            </w:r>
          </w:p>
        </w:tc>
        <w:tc>
          <w:tcPr>
            <w:tcW w:type="dxa" w:w="2556"/>
          </w:tcPr>
          <w:p>
            <w:r>
              <w:t>0,6066</w:t>
            </w:r>
          </w:p>
        </w:tc>
      </w:tr>
      <w:tr>
        <w:tc>
          <w:tcPr>
            <w:tcW w:type="dxa" w:w="2556"/>
          </w:tcPr>
          <w:p>
            <w:r>
              <w:t>Weighted BCE</w:t>
            </w:r>
          </w:p>
        </w:tc>
        <w:tc>
          <w:tcPr>
            <w:tcW w:type="dxa" w:w="2556"/>
          </w:tcPr>
          <w:p>
            <w:r>
              <w:t>0,6082</w:t>
            </w:r>
          </w:p>
        </w:tc>
        <w:tc>
          <w:tcPr>
            <w:tcW w:type="dxa" w:w="2556"/>
          </w:tcPr>
          <w:p>
            <w:r>
              <w:t>0,5802</w:t>
            </w:r>
          </w:p>
        </w:tc>
        <w:tc>
          <w:tcPr>
            <w:tcW w:type="dxa" w:w="2556"/>
          </w:tcPr>
          <w:p>
            <w:r>
              <w:t>0,6033</w:t>
            </w:r>
          </w:p>
        </w:tc>
      </w:tr>
      <w:tr>
        <w:tc>
          <w:tcPr>
            <w:tcW w:type="dxa" w:w="2556"/>
          </w:tcPr>
          <w:p>
            <w:r>
              <w:t>Focal Loss</w:t>
            </w:r>
          </w:p>
        </w:tc>
        <w:tc>
          <w:tcPr>
            <w:tcW w:type="dxa" w:w="2556"/>
          </w:tcPr>
          <w:p>
            <w:r>
              <w:t>0,5958</w:t>
            </w:r>
          </w:p>
        </w:tc>
        <w:tc>
          <w:tcPr>
            <w:tcW w:type="dxa" w:w="2556"/>
          </w:tcPr>
          <w:p>
            <w:r>
              <w:t>0,6012</w:t>
            </w:r>
          </w:p>
        </w:tc>
        <w:tc>
          <w:tcPr>
            <w:tcW w:type="dxa" w:w="2556"/>
          </w:tcPr>
          <w:p>
            <w:r>
              <w:t>0,6149</w:t>
            </w:r>
          </w:p>
        </w:tc>
      </w:tr>
      <w:tr>
        <w:tc>
          <w:tcPr>
            <w:tcW w:type="dxa" w:w="2556"/>
          </w:tcPr>
          <w:p>
            <w:r>
              <w:t>ASL</w:t>
            </w:r>
          </w:p>
        </w:tc>
        <w:tc>
          <w:tcPr>
            <w:tcW w:type="dxa" w:w="2556"/>
          </w:tcPr>
          <w:p>
            <w:r>
              <w:t>0,6156</w:t>
            </w:r>
          </w:p>
        </w:tc>
        <w:tc>
          <w:tcPr>
            <w:tcW w:type="dxa" w:w="2556"/>
          </w:tcPr>
          <w:p>
            <w:r>
              <w:t>0,6034</w:t>
            </w:r>
          </w:p>
        </w:tc>
        <w:tc>
          <w:tcPr>
            <w:tcW w:type="dxa" w:w="2556"/>
          </w:tcPr>
          <w:p>
            <w:r>
              <w:t>0,6121</w:t>
            </w:r>
          </w:p>
        </w:tc>
      </w:tr>
      <w:tr>
        <w:tc>
          <w:tcPr>
            <w:tcW w:type="dxa" w:w="2556"/>
          </w:tcPr>
          <w:p>
            <w:r>
              <w:t>PolyLoss</w:t>
            </w:r>
          </w:p>
        </w:tc>
        <w:tc>
          <w:tcPr>
            <w:tcW w:type="dxa" w:w="2556"/>
          </w:tcPr>
          <w:p>
            <w:r>
              <w:t>0,5796</w:t>
            </w:r>
          </w:p>
        </w:tc>
        <w:tc>
          <w:tcPr>
            <w:tcW w:type="dxa" w:w="2556"/>
          </w:tcPr>
          <w:p>
            <w:r>
              <w:t>0,5788</w:t>
            </w:r>
          </w:p>
        </w:tc>
        <w:tc>
          <w:tcPr>
            <w:tcW w:type="dxa" w:w="2556"/>
          </w:tcPr>
          <w:p>
            <w:r>
              <w:t>0,5854</w:t>
            </w:r>
          </w:p>
        </w:tc>
      </w:tr>
    </w:tbl>
    <w:p>
      <w:r>
        <w:t>ASL menghasilkan Test Macro-F1 tertinggi pada evaluasi utama delapan label. Focal Loss menghasilkan Macro-F1 tertinggi pada analisis sekunder enam penyakit spesifik D, G, C, A, H, dan M. Analisis sekunder tidak mengubah output model dan tidak memerlukan training ulang.</w:t>
      </w:r>
    </w:p>
    <w:p>
      <w:r>
        <w:t>Setiap loss pendahuluan baru dijalankan satu kali sehingga kesimpulannya bersifat sementara. Efektivitas LEBER belum diuji dan tidak boleh dinyatakan lebih baik sebelum ablation study serta pengulangan seed selesai.</w:t>
      </w:r>
    </w:p>
    <w:p>
      <w:r>
        <w:t>Prioritas berikutnya adalah membangun baseline A0 yang mereproduksi konfigurasi ASL, lalu menambahkan symmetric fusion, expert, router, supervisi kualitas, dan aturan exchange-equivariant secara bertahap.</w:t>
      </w:r>
    </w:p>
    <w:p>
      <w:pPr>
        <w:pStyle w:val="Heading1"/>
      </w:pPr>
      <w:r>
        <w:rPr>
          <w:color w:val="000000"/>
        </w:rPr>
        <w:t>13. LEBER Architecture Specification</w:t>
      </w:r>
    </w:p>
    <w:p>
      <w:r>
        <w:t>LEBER menggunakan satu shared ResNet50 untuk kedua mata. Tiga head ringan mewakili bukti mata kiri, mata kanan, dan interaksi bilateral simetris. Router menghasilkan tiga bobot ternormalisasi untuk setiap label. Eye scorer berbagi bobot sehingga pertukaran input menukar bobot mata, sedangkan representasi bilateral dan diagnosis pasien tetap sama.</w:t>
      </w:r>
    </w:p>
    <w:tbl>
      <w:tblPr>
        <w:tblStyle w:val="Table1"/>
        <w:tblW w:type="auto" w:w="0"/>
        <w:jc w:val="center"/>
        <w:tblLook w:firstColumn="1" w:firstRow="1" w:lastColumn="0" w:lastRow="0" w:noHBand="0" w:noVBand="1" w:val="04A0"/>
      </w:tblPr>
      <w:tblGrid>
        <w:gridCol w:w="2556"/>
        <w:gridCol w:w="2556"/>
        <w:gridCol w:w="2556"/>
        <w:gridCol w:w="2556"/>
      </w:tblGrid>
      <w:tr>
        <w:tc>
          <w:tcPr>
            <w:tcW w:type="dxa" w:w="2556"/>
          </w:tcPr>
          <w:p>
            <w:r>
              <w:t>ID</w:t>
            </w:r>
          </w:p>
        </w:tc>
        <w:tc>
          <w:tcPr>
            <w:tcW w:type="dxa" w:w="2556"/>
          </w:tcPr>
          <w:p>
            <w:r>
              <w:t>Konfigurasi</w:t>
            </w:r>
          </w:p>
        </w:tc>
        <w:tc>
          <w:tcPr>
            <w:tcW w:type="dxa" w:w="2556"/>
          </w:tcPr>
          <w:p>
            <w:r>
              <w:t>Tujuan</w:t>
            </w:r>
          </w:p>
        </w:tc>
        <w:tc>
          <w:tcPr>
            <w:tcW w:type="dxa" w:w="2556"/>
          </w:tcPr>
          <w:p>
            <w:r>
              <w:t>Status</w:t>
            </w:r>
          </w:p>
        </w:tc>
      </w:tr>
      <w:tr>
        <w:tc>
          <w:tcPr>
            <w:tcW w:type="dxa" w:w="2556"/>
            <w:vAlign w:val="center"/>
          </w:tcPr>
          <w:p>
            <w:r>
              <w:t>A0</w:t>
            </w:r>
          </w:p>
        </w:tc>
        <w:tc>
          <w:tcPr>
            <w:tcW w:type="dxa" w:w="2556"/>
            <w:vAlign w:val="center"/>
          </w:tcPr>
          <w:p>
            <w:r>
              <w:t>Concatenation dan ASL</w:t>
            </w:r>
          </w:p>
        </w:tc>
        <w:tc>
          <w:tcPr>
            <w:tcW w:type="dxa" w:w="2556"/>
            <w:vAlign w:val="center"/>
          </w:tcPr>
          <w:p>
            <w:r>
              <w:t>Baseline</w:t>
            </w:r>
          </w:p>
        </w:tc>
        <w:tc>
          <w:tcPr>
            <w:tcW w:type="dxa" w:w="2556"/>
            <w:vAlign w:val="center"/>
          </w:tcPr>
          <w:p>
            <w:r>
              <w:t>Reproduksi</w:t>
            </w:r>
          </w:p>
        </w:tc>
      </w:tr>
      <w:tr>
        <w:tc>
          <w:tcPr>
            <w:tcW w:type="dxa" w:w="2556"/>
            <w:vAlign w:val="center"/>
          </w:tcPr>
          <w:p>
            <w:r>
              <w:t>A1</w:t>
            </w:r>
          </w:p>
        </w:tc>
        <w:tc>
          <w:tcPr>
            <w:tcW w:type="dxa" w:w="2556"/>
            <w:vAlign w:val="center"/>
          </w:tcPr>
          <w:p>
            <w:r>
              <w:t>Symmetric bilateral features</w:t>
            </w:r>
          </w:p>
        </w:tc>
        <w:tc>
          <w:tcPr>
            <w:tcW w:type="dxa" w:w="2556"/>
            <w:vAlign w:val="center"/>
          </w:tcPr>
          <w:p>
            <w:r>
              <w:t>Uji interaksi simetris</w:t>
            </w:r>
          </w:p>
        </w:tc>
        <w:tc>
          <w:tcPr>
            <w:tcW w:type="dxa" w:w="2556"/>
            <w:vAlign w:val="center"/>
          </w:tcPr>
          <w:p>
            <w:r>
              <w:t>Rencana</w:t>
            </w:r>
          </w:p>
        </w:tc>
      </w:tr>
      <w:tr>
        <w:tc>
          <w:tcPr>
            <w:tcW w:type="dxa" w:w="2556"/>
            <w:vAlign w:val="center"/>
          </w:tcPr>
          <w:p>
            <w:r>
              <w:t>A2</w:t>
            </w:r>
          </w:p>
        </w:tc>
        <w:tc>
          <w:tcPr>
            <w:tcW w:type="dxa" w:w="2556"/>
            <w:vAlign w:val="center"/>
          </w:tcPr>
          <w:p>
            <w:r>
              <w:t>Tiga expert, bobot tetap</w:t>
            </w:r>
          </w:p>
        </w:tc>
        <w:tc>
          <w:tcPr>
            <w:tcW w:type="dxa" w:w="2556"/>
            <w:vAlign w:val="center"/>
          </w:tcPr>
          <w:p>
            <w:r>
              <w:t>Kontrol kapasitas</w:t>
            </w:r>
          </w:p>
        </w:tc>
        <w:tc>
          <w:tcPr>
            <w:tcW w:type="dxa" w:w="2556"/>
            <w:vAlign w:val="center"/>
          </w:tcPr>
          <w:p>
            <w:r>
              <w:t>Rencana</w:t>
            </w:r>
          </w:p>
        </w:tc>
      </w:tr>
      <w:tr>
        <w:tc>
          <w:tcPr>
            <w:tcW w:type="dxa" w:w="2556"/>
            <w:vAlign w:val="center"/>
          </w:tcPr>
          <w:p>
            <w:r>
              <w:t>A3</w:t>
            </w:r>
          </w:p>
        </w:tc>
        <w:tc>
          <w:tcPr>
            <w:tcW w:type="dxa" w:w="2556"/>
            <w:vAlign w:val="center"/>
          </w:tcPr>
          <w:p>
            <w:r>
              <w:t>Tiga expert, global gate</w:t>
            </w:r>
          </w:p>
        </w:tc>
        <w:tc>
          <w:tcPr>
            <w:tcW w:type="dxa" w:w="2556"/>
            <w:vAlign w:val="center"/>
          </w:tcPr>
          <w:p>
            <w:r>
              <w:t>Uji global fusion</w:t>
            </w:r>
          </w:p>
        </w:tc>
        <w:tc>
          <w:tcPr>
            <w:tcW w:type="dxa" w:w="2556"/>
            <w:vAlign w:val="center"/>
          </w:tcPr>
          <w:p>
            <w:r>
              <w:t>Rencana</w:t>
            </w:r>
          </w:p>
        </w:tc>
      </w:tr>
      <w:tr>
        <w:tc>
          <w:tcPr>
            <w:tcW w:type="dxa" w:w="2556"/>
            <w:vAlign w:val="center"/>
          </w:tcPr>
          <w:p>
            <w:r>
              <w:t>A4</w:t>
            </w:r>
          </w:p>
        </w:tc>
        <w:tc>
          <w:tcPr>
            <w:tcW w:type="dxa" w:w="2556"/>
            <w:vAlign w:val="center"/>
          </w:tcPr>
          <w:p>
            <w:r>
              <w:t>Label-wise router</w:t>
            </w:r>
          </w:p>
        </w:tc>
        <w:tc>
          <w:tcPr>
            <w:tcW w:type="dxa" w:w="2556"/>
            <w:vAlign w:val="center"/>
          </w:tcPr>
          <w:p>
            <w:r>
              <w:t>Uji routing per label</w:t>
            </w:r>
          </w:p>
        </w:tc>
        <w:tc>
          <w:tcPr>
            <w:tcW w:type="dxa" w:w="2556"/>
            <w:vAlign w:val="center"/>
          </w:tcPr>
          <w:p>
            <w:r>
              <w:t>Rencana</w:t>
            </w:r>
          </w:p>
        </w:tc>
      </w:tr>
      <w:tr>
        <w:tc>
          <w:tcPr>
            <w:tcW w:type="dxa" w:w="2556"/>
            <w:vAlign w:val="center"/>
          </w:tcPr>
          <w:p>
            <w:r>
              <w:t>A5</w:t>
            </w:r>
          </w:p>
        </w:tc>
        <w:tc>
          <w:tcPr>
            <w:tcW w:type="dxa" w:w="2556"/>
            <w:vAlign w:val="center"/>
          </w:tcPr>
          <w:p>
            <w:r>
              <w:t>A4 dan supervisi kualitas</w:t>
            </w:r>
          </w:p>
        </w:tc>
        <w:tc>
          <w:tcPr>
            <w:tcW w:type="dxa" w:w="2556"/>
            <w:vAlign w:val="center"/>
          </w:tcPr>
          <w:p>
            <w:r>
              <w:t>Uji supervisi router</w:t>
            </w:r>
          </w:p>
        </w:tc>
        <w:tc>
          <w:tcPr>
            <w:tcW w:type="dxa" w:w="2556"/>
            <w:vAlign w:val="center"/>
          </w:tcPr>
          <w:p>
            <w:r>
              <w:t>Rencana</w:t>
            </w:r>
          </w:p>
        </w:tc>
      </w:tr>
      <w:tr>
        <w:tc>
          <w:tcPr>
            <w:tcW w:type="dxa" w:w="2556"/>
            <w:vAlign w:val="center"/>
          </w:tcPr>
          <w:p>
            <w:r>
              <w:t>A6</w:t>
            </w:r>
          </w:p>
        </w:tc>
        <w:tc>
          <w:tcPr>
            <w:tcW w:type="dxa" w:w="2556"/>
            <w:vAlign w:val="center"/>
          </w:tcPr>
          <w:p>
            <w:r>
              <w:t>Konstruksi exchange-equivariant</w:t>
            </w:r>
          </w:p>
        </w:tc>
        <w:tc>
          <w:tcPr>
            <w:tcW w:type="dxa" w:w="2556"/>
            <w:vAlign w:val="center"/>
          </w:tcPr>
          <w:p>
            <w:r>
              <w:t>Metode lengkap</w:t>
            </w:r>
          </w:p>
        </w:tc>
        <w:tc>
          <w:tcPr>
            <w:tcW w:type="dxa" w:w="2556"/>
            <w:vAlign w:val="center"/>
          </w:tcPr>
          <w:p>
            <w:r>
              <w:t>Rencana</w:t>
            </w:r>
          </w:p>
        </w:tc>
      </w:tr>
    </w:tbl>
    <w:p>
      <w:pPr>
        <w:pStyle w:val="Heading1"/>
      </w:pPr>
      <w:r>
        <w:rPr>
          <w:color w:val="000000"/>
        </w:rPr>
        <w:t>14. Validation Rules</w:t>
      </w:r>
    </w:p>
    <w:p>
      <w:r>
        <w:t>• Diagnosis pasien harus tetap sama ketika input kiri dan kanan ditukar.</w:t>
      </w:r>
    </w:p>
    <w:p>
      <w:r>
        <w:t>• Bobot kiri dan kanan harus bertukar setelah input ditukar; bobot bilateral harus tetap sama.</w:t>
      </w:r>
    </w:p>
    <w:p>
      <w:r>
        <w:t>• A0 dan A6 dijalankan minimal dengan seed 42, 52, dan 62 serta dilaporkan sebagai rata-rata dan standar deviasi.</w:t>
      </w:r>
    </w:p>
    <w:p>
      <w:r>
        <w:t>• Pemilihan arsitektur dan threshold hanya menggunakan validation set; test dilakukan setelah konfigurasi dikunci.</w:t>
      </w:r>
    </w:p>
    <w:p>
      <w:r>
        <w:t>• Layer-CAM menjadi interpretasi kualitatif dan bukan validasi klinis lokasi lesi.</w:t>
      </w:r>
    </w:p>
    <w:sectPr>
      <w:headerReference r:id="rId10" w:type="default"/>
      <w:headerReference r:id="rId11" w:type="first"/>
      <w:footerReference r:id="rId12" w:type="default"/>
      <w:footerReference r:id="rId13" w:type="first"/>
      <w:pgSz w:h="15840" w:w="12240" w:orient="portrait"/>
      <w:pgMar w:bottom="893" w:top="1008" w:left="1008" w:right="1008"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Helvetica Neue Ligh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7">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60" w:lineRule="auto"/>
      <w:ind w:left="0" w:right="0" w:firstLine="0"/>
      <w:jc w:val="center"/>
      <w:rPr>
        <w:rFonts w:ascii="Arial" w:cs="Arial" w:eastAsia="Arial" w:hAnsi="Arial"/>
        <w:b w:val="0"/>
        <w:bCs w:val="0"/>
        <w:i w:val="0"/>
        <w:iCs w:val="0"/>
        <w:smallCaps w:val="0"/>
        <w:strike w:val="0"/>
        <w:color w:val="5b7085"/>
        <w:sz w:val="20"/>
        <w:szCs w:val="20"/>
        <w:u w:val="none"/>
        <w:shd w:fill="auto" w:val="clear"/>
        <w:vertAlign w:val="baseline"/>
      </w:rPr>
    </w:pPr>
    <w:r>
      <w:rPr>
        <w:rFonts w:ascii="Arial" w:cs="Arial" w:eastAsia="Arial" w:hAnsi="Arial"/>
        <w:b w:val="0"/>
        <w:bCs w:val="0"/>
        <w:i w:val="0"/>
        <w:iCs w:val="0"/>
        <w:smallCaps w:val="0"/>
        <w:strike w:val="0"/>
        <w:color w:val="5b7085"/>
        <w:sz w:val="16"/>
        <w:szCs w:val="16"/>
        <w:u w:val="none"/>
        <w:shd w:fill="auto" w:val="clear"/>
        <w:vertAlign w:val="baseline"/>
        <w:rtl w:val="0"/>
      </w:rPr>
      <w:t xml:space="preserve">Intelligent Fundus Screening | System Design RFC</w:t>
    </w:r>
    <w:r>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9">
    <w:pPr>
      <w:rPr/>
    </w:pPr>
    <w:r>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14:paraId="000000F5">
      <w:pPr>
        <w:spacing w:after="0" w:line="270" w:lineRule="auto"/>
        <w:jc w:val="both"/>
        <w:rPr/>
      </w:pPr>
      <w:r>
        <w:rPr>
          <w:rStyle w:val="FootnoteReference"/>
          <w:vertAlign w:val="superscript"/>
        </w:rPr>
        <w:footnoteRef/>
      </w:r>
      <w:r>
        <w:rPr>
          <w:color w:val="233447"/>
          <w:rtl w:val="0"/>
        </w:rPr>
        <w:t xml:space="preserve"> Use footnotes for definitions, assumptions, or terms that need precision without interrupting the main narrative.</w:t>
      </w:r>
      <w:r>
        <w:rPr>
          <w:rtl w:val="0"/>
        </w:rPr>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6">
    <w:pPr>
      <w:rPr/>
    </w:pPr>
    <w:r>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8">
    <w:pPr>
      <w:rPr/>
    </w:pPr>
    <w:r>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lowerLetter"/>
      <w:lvlText w:val="%1."/>
      <w:lvlJc w:val="left"/>
      <w:pPr>
        <w:ind w:left="360" w:hanging="360"/>
      </w:pPr>
      <w:rPr/>
    </w:lvl>
    <w:lvl w:ilvl="1">
      <w:start w:val="1"/>
      <w:numFmt w:val="lowerLetter"/>
      <w:lvlText w:val="%2)"/>
      <w:lvlJc w:val="left"/>
      <w:pPr>
        <w:ind w:left="720" w:hanging="360"/>
      </w:pPr>
      <w:rPr/>
    </w:lvl>
    <w:lvl w:ilvl="2">
      <w:start w:val="1"/>
      <w:numFmt w:val="lowerRoman"/>
      <w:lvlText w:val="%3)"/>
      <w:lvlJc w:val="left"/>
      <w:pPr>
        <w:ind w:left="1080" w:hanging="360"/>
      </w:pPr>
      <w:rPr/>
    </w:lvl>
    <w:lvl w:ilvl="3">
      <w:start w:val="1"/>
      <w:numFmt w:val="decimal"/>
      <w:lvlText w:val="(%4)"/>
      <w:lvlJc w:val="left"/>
      <w:pPr>
        <w:ind w:left="1440" w:hanging="360"/>
      </w:pPr>
      <w:rPr/>
    </w:lvl>
    <w:lvl w:ilvl="4">
      <w:start w:val="1"/>
      <w:numFmt w:val="lowerLetter"/>
      <w:lvlText w:val="(%5)"/>
      <w:lvlJc w:val="left"/>
      <w:pPr>
        <w:ind w:left="1800" w:hanging="360"/>
      </w:pPr>
      <w:rPr/>
    </w:lvl>
    <w:lvl w:ilvl="5">
      <w:start w:val="1"/>
      <w:numFmt w:val="lowerRoman"/>
      <w:lvlText w:val="(%6)"/>
      <w:lvlJc w:val="left"/>
      <w:pPr>
        <w:ind w:left="2160" w:hanging="360"/>
      </w:pPr>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abstractNum w:abstractNumId="3">
    <w:lvl w:ilvl="0">
      <w:start w:val="1"/>
      <w:numFmt w:val="lowerLetter"/>
      <w:lvlText w:val="%1."/>
      <w:lvlJc w:val="left"/>
      <w:pPr>
        <w:ind w:left="360" w:hanging="360"/>
      </w:pPr>
      <w:rPr/>
    </w:lvl>
    <w:lvl w:ilvl="1">
      <w:start w:val="1"/>
      <w:numFmt w:val="lowerLetter"/>
      <w:lvlText w:val="%2)"/>
      <w:lvlJc w:val="left"/>
      <w:pPr>
        <w:ind w:left="720" w:hanging="360"/>
      </w:pPr>
      <w:rPr/>
    </w:lvl>
    <w:lvl w:ilvl="2">
      <w:start w:val="1"/>
      <w:numFmt w:val="lowerRoman"/>
      <w:lvlText w:val="%3)"/>
      <w:lvlJc w:val="left"/>
      <w:pPr>
        <w:ind w:left="1080" w:hanging="360"/>
      </w:pPr>
      <w:rPr/>
    </w:lvl>
    <w:lvl w:ilvl="3">
      <w:start w:val="1"/>
      <w:numFmt w:val="decimal"/>
      <w:lvlText w:val="(%4)"/>
      <w:lvlJc w:val="left"/>
      <w:pPr>
        <w:ind w:left="1440" w:hanging="360"/>
      </w:pPr>
      <w:rPr/>
    </w:lvl>
    <w:lvl w:ilvl="4">
      <w:start w:val="1"/>
      <w:numFmt w:val="lowerLetter"/>
      <w:lvlText w:val="(%5)"/>
      <w:lvlJc w:val="left"/>
      <w:pPr>
        <w:ind w:left="1800" w:hanging="360"/>
      </w:pPr>
      <w:rPr/>
    </w:lvl>
    <w:lvl w:ilvl="5">
      <w:start w:val="1"/>
      <w:numFmt w:val="lowerRoman"/>
      <w:lvlText w:val="(%6)"/>
      <w:lvlJc w:val="left"/>
      <w:pPr>
        <w:ind w:left="2160" w:hanging="360"/>
      </w:pPr>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abstractNum w:abstractNumId="4">
    <w:lvl w:ilvl="0">
      <w:start w:val="1"/>
      <w:numFmt w:val="lowerLetter"/>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233447"/>
        <w:lang w:val="en"/>
      </w:rPr>
    </w:rPrDefault>
    <w:pPrDefault>
      <w:pPr>
        <w:spacing w:after="110"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Bdr>
        <w:top w:color="2f6b9a" w:space="2" w:sz="0" w:val="none"/>
        <w:left w:color="2f6b9a" w:space="2" w:sz="0" w:val="none"/>
        <w:bottom w:color="2f6b9a" w:space="2" w:sz="0" w:val="none"/>
        <w:right w:color="2f6b9a" w:space="2" w:sz="0" w:val="none"/>
      </w:pBdr>
      <w:spacing w:after="130" w:line="285" w:lineRule="auto"/>
    </w:pPr>
    <w:rPr>
      <w:b w:val="1"/>
      <w:bCs w:val="1"/>
      <w:color w:val="082a4a"/>
      <w:sz w:val="27"/>
      <w:szCs w:val="27"/>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smallCaps w:val="1"/>
      <w:color w:val="082a4a"/>
      <w:sz w:val="19"/>
      <w:szCs w:val="19"/>
    </w:rPr>
  </w:style>
  <w:style w:type="paragraph" w:styleId="Heading3">
    <w:name w:val="heading 3"/>
    <w:basedOn w:val="Normal"/>
    <w:next w:val="Normal"/>
    <w:pPr>
      <w:keepNext w:val="1"/>
      <w:keepLines w:val="1"/>
    </w:pPr>
    <w:rPr>
      <w:rFonts w:ascii="Helvetica Neue" w:cs="Helvetica Neue" w:eastAsia="Helvetica Neue" w:hAnsi="Helvetica Neue"/>
      <w:b w:val="1"/>
      <w:bCs w:val="1"/>
      <w:color w:val="5b7085"/>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082a4a"/>
    </w:rPr>
  </w:style>
  <w:style w:type="paragraph" w:styleId="Heading5">
    <w:name w:val="heading 5"/>
    <w:basedOn w:val="Normal"/>
    <w:next w:val="Normal"/>
    <w:pPr>
      <w:keepNext w:val="1"/>
      <w:keepLines w:val="1"/>
      <w:spacing w:after="0" w:before="200" w:lineRule="auto"/>
    </w:pPr>
    <w:rPr>
      <w:rFonts w:ascii="Calibri" w:cs="Calibri" w:eastAsia="Calibri" w:hAnsi="Calibri"/>
      <w:color w:val="082a4a"/>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082a4a"/>
    </w:rPr>
  </w:style>
  <w:style w:type="paragraph" w:styleId="Title">
    <w:name w:val="Title"/>
    <w:basedOn w:val="Normal"/>
    <w:next w:val="Normal"/>
    <w:pPr>
      <w:spacing w:after="150" w:lineRule="auto"/>
    </w:pPr>
    <w:rPr>
      <w:b w:val="1"/>
      <w:bCs w:val="1"/>
      <w:color w:val="082a4a"/>
      <w:sz w:val="44"/>
      <w:szCs w:val="44"/>
    </w:rPr>
  </w:style>
  <w:style w:type="paragraph" w:styleId="Subtitle">
    <w:name w:val="Subtitle"/>
    <w:basedOn w:val="Normal"/>
    <w:next w:val="Normal"/>
    <w:pPr/>
    <w:rPr>
      <w:rFonts w:ascii="Calibri" w:cs="Calibri" w:eastAsia="Calibri" w:hAnsi="Calibri"/>
      <w:i w:val="1"/>
      <w:iCs w:val="1"/>
      <w:color w:val="082a4a"/>
      <w:sz w:val="24"/>
      <w:szCs w:val="24"/>
    </w:rPr>
  </w:style>
  <w:style w:type="table" w:styleId="Table1">
    <w:basedOn w:val="TableNormal"/>
    <w:tblPr>
      <w:tblStyleRowBandSize w:val="1"/>
      <w:tblStyleColBandSize w:val="1"/>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1" Type="http://schemas.openxmlformats.org/officeDocument/2006/relationships/header" Target="header2.xml"/><Relationship Id="rId10" Type="http://schemas.openxmlformats.org/officeDocument/2006/relationships/header" Target="header1.xml"/><Relationship Id="rId13" Type="http://schemas.openxmlformats.org/officeDocument/2006/relationships/footer" Target="footer2.xml"/><Relationship Id="rId12"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yperlink" Target="https://example.com/system-design/contracts" TargetMode="External"/><Relationship Id="rId5" Type="http://schemas.openxmlformats.org/officeDocument/2006/relationships/numbering" Target="numbering.xml"/><Relationship Id="rId6" Type="http://schemas.openxmlformats.org/officeDocument/2006/relationships/styles" Target="styles.xm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 Id="rId5" Type="http://schemas.openxmlformats.org/officeDocument/2006/relationships/font" Target="fonts/HelveticaNeueLight-regular.ttf"/><Relationship Id="rId6" Type="http://schemas.openxmlformats.org/officeDocument/2006/relationships/font" Target="fonts/HelveticaNeueLight-bold.ttf"/><Relationship Id="rId7" Type="http://schemas.openxmlformats.org/officeDocument/2006/relationships/font" Target="fonts/HelveticaNeueLight-italic.ttf"/><Relationship Id="rId8" Type="http://schemas.openxmlformats.org/officeDocument/2006/relationships/font" Target="fonts/HelveticaNeueLigh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