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t>Perbandingan Fungsi Loss untuk Klasifikasi Multi-Label Fundus ODIR-5K</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Desain eksperimen klasifikasi multi-label citra fundus ODIR-5K dengan perbandingan BCE, Weighted BCE, Focal Loss, ASL,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Desain ini mengevaluasi sistem klasifikasi multi-label penyakit mata pada citra fundus ODIR-5K. Sistem membandingkan Binary Cross-Entropy (BCE), Weighted BCE, Focal Loss, Asymmetric Loss (ASL), dan PolyLoss dengan backbone, patient-level split, preprocessing, dan konfigurasi pelatihan yang sama. Tujuannya adalah mengukur fungsi loss yang paling sesuai untuk kelas mayoritas dan minoritas, serta meninjau dasar visual prediksi melalui Layer-CAM.</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b w:val="0"/>
                <w:sz w:val="17"/>
              </w:rPr>
              <w:t>Mendapatkan perbandingan lima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Gangguan penglihatan merupakan masalah kesehatan global, sedangkan skrining manual membutuhkan tenaga ahli dan waktu. ODIR-5K mencerminkan kondisi nyata dengan delapan label dan kemungkinan beberapa penyakit pada satu kasus. Distribusi label yang tidak seimbang dapat membuat model lebih banyak menerima sinyal dari label negatif atau kelas mayoritas; dampaknya, kelas minoritas dapat kurang terdeteksi meskipun metrik agregat terlihat tinggi. Penelitian terdahulu sering menggabungkan banyak komponen, sehingga kontribusi fungsi loss sulit dipisahkan.</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mata kiri-kanan, lalu mencakup preprocessing, patient-level split, pelatihan lima fungsi loss, evaluasi, dan Layer-CAM.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p>
    <w:p>
      <w:pPr>
        <w:pStyle w:val="Heading2"/>
      </w:pPr>
      <w:r>
        <w:t>Rancangan Pengujian Fungsi Loss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Loss</w:t>
            </w:r>
          </w:p>
        </w:tc>
        <w:tc>
          <w:tcPr>
            <w:tcW w:type="dxa" w:w="2556"/>
            <w:vAlign w:val="center"/>
            <w:shd w:fill="D9EAF7"/>
          </w:tcPr>
          <w:p>
            <w:r>
              <w:rPr>
                <w:b/>
                <w:sz w:val="17"/>
              </w:rPr>
              <w:t>Posisi</w:t>
            </w:r>
          </w:p>
        </w:tc>
        <w:tc>
          <w:tcPr>
            <w:tcW w:type="dxa" w:w="2556"/>
            <w:vAlign w:val="center"/>
            <w:shd w:fill="D9EAF7"/>
          </w:tcPr>
          <w:p>
            <w:r>
              <w:rPr>
                <w:b/>
                <w:sz w:val="17"/>
              </w:rPr>
              <w:t>Parameter yang dikunci</w:t>
            </w:r>
          </w:p>
        </w:tc>
        <w:tc>
          <w:tcPr>
            <w:tcW w:type="dxa" w:w="2556"/>
            <w:vAlign w:val="center"/>
            <w:shd w:fill="D9EAF7"/>
          </w:tcPr>
          <w:p>
            <w:r>
              <w:rPr>
                <w:b/>
                <w:sz w:val="17"/>
              </w:rPr>
              <w:t>Pertanyaan yang diuji</w:t>
            </w:r>
          </w:p>
        </w:tc>
      </w:tr>
      <w:tr>
        <w:tc>
          <w:tcPr>
            <w:tcW w:type="dxa" w:w="2556"/>
            <w:vAlign w:val="center"/>
          </w:tcPr>
          <w:p>
            <w:r>
              <w:rPr>
                <w:b w:val="0"/>
                <w:sz w:val="17"/>
              </w:rPr>
              <w:t>BCE</w:t>
            </w:r>
          </w:p>
        </w:tc>
        <w:tc>
          <w:tcPr>
            <w:tcW w:type="dxa" w:w="2556"/>
            <w:vAlign w:val="center"/>
          </w:tcPr>
          <w:p>
            <w:r>
              <w:rPr>
                <w:b w:val="0"/>
                <w:sz w:val="17"/>
              </w:rPr>
              <w:t>Baseline</w:t>
            </w:r>
          </w:p>
        </w:tc>
        <w:tc>
          <w:tcPr>
            <w:tcW w:type="dxa" w:w="2556"/>
            <w:vAlign w:val="center"/>
          </w:tcPr>
          <w:p>
            <w:r>
              <w:rPr>
                <w:b w:val="0"/>
                <w:sz w:val="17"/>
              </w:rPr>
              <w:t>Tidak ada parameter khusus</w:t>
            </w:r>
          </w:p>
        </w:tc>
        <w:tc>
          <w:tcPr>
            <w:tcW w:type="dxa" w:w="2556"/>
            <w:vAlign w:val="center"/>
          </w:tcPr>
          <w:p>
            <w:r>
              <w:rPr>
                <w:b w:val="0"/>
                <w:sz w:val="17"/>
              </w:rPr>
              <w:t>Acuan kinerja standar</w:t>
            </w:r>
          </w:p>
        </w:tc>
      </w:tr>
      <w:tr>
        <w:tc>
          <w:tcPr>
            <w:tcW w:type="dxa" w:w="2556"/>
            <w:vAlign w:val="center"/>
          </w:tcPr>
          <w:p>
            <w:r>
              <w:rPr>
                <w:b w:val="0"/>
                <w:sz w:val="17"/>
              </w:rPr>
              <w:t>Weighted BCE</w:t>
            </w:r>
          </w:p>
        </w:tc>
        <w:tc>
          <w:tcPr>
            <w:tcW w:type="dxa" w:w="2556"/>
            <w:vAlign w:val="center"/>
          </w:tcPr>
          <w:p>
            <w:r>
              <w:rPr>
                <w:b w:val="0"/>
                <w:sz w:val="17"/>
              </w:rPr>
              <w:t>Pembobotan kelas</w:t>
            </w:r>
          </w:p>
        </w:tc>
        <w:tc>
          <w:tcPr>
            <w:tcW w:type="dxa" w:w="2556"/>
            <w:vAlign w:val="center"/>
          </w:tcPr>
          <w:p>
            <w:r>
              <w:rPr>
                <w:b w:val="0"/>
                <w:sz w:val="17"/>
              </w:rPr>
              <w:t>Bobot dari frekuensi label data latih</w:t>
            </w:r>
          </w:p>
        </w:tc>
        <w:tc>
          <w:tcPr>
            <w:tcW w:type="dxa" w:w="2556"/>
            <w:vAlign w:val="center"/>
          </w:tcPr>
          <w:p>
            <w:r>
              <w:rPr>
                <w:b w:val="0"/>
                <w:sz w:val="17"/>
              </w:rPr>
              <w:t>Meningkatkan perhatian pada label jarang</w:t>
            </w:r>
          </w:p>
        </w:tc>
      </w:tr>
      <w:tr>
        <w:tc>
          <w:tcPr>
            <w:tcW w:type="dxa" w:w="2556"/>
            <w:vAlign w:val="center"/>
          </w:tcPr>
          <w:p>
            <w:r>
              <w:rPr>
                <w:b w:val="0"/>
                <w:sz w:val="17"/>
              </w:rPr>
              <w:t>Focal Loss</w:t>
            </w:r>
          </w:p>
        </w:tc>
        <w:tc>
          <w:tcPr>
            <w:tcW w:type="dxa" w:w="2556"/>
            <w:vAlign w:val="center"/>
          </w:tcPr>
          <w:p>
            <w:r>
              <w:rPr>
                <w:b w:val="0"/>
                <w:sz w:val="17"/>
              </w:rPr>
              <w:t>Contoh sulit</w:t>
            </w:r>
          </w:p>
        </w:tc>
        <w:tc>
          <w:tcPr>
            <w:tcW w:type="dxa" w:w="2556"/>
            <w:vAlign w:val="center"/>
          </w:tcPr>
          <w:p>
            <w:r>
              <w:rPr>
                <w:b w:val="0"/>
                <w:sz w:val="17"/>
              </w:rPr>
              <w:t>Gamma dan alpha dari validation set</w:t>
            </w:r>
          </w:p>
        </w:tc>
        <w:tc>
          <w:tcPr>
            <w:tcW w:type="dxa" w:w="2556"/>
            <w:vAlign w:val="center"/>
          </w:tcPr>
          <w:p>
            <w:r>
              <w:rPr>
                <w:b w:val="0"/>
                <w:sz w:val="17"/>
              </w:rPr>
              <w:t>Mengurangi dominasi contoh mudah</w:t>
            </w:r>
          </w:p>
        </w:tc>
      </w:tr>
      <w:tr>
        <w:tc>
          <w:tcPr>
            <w:tcW w:type="dxa" w:w="2556"/>
            <w:vAlign w:val="center"/>
          </w:tcPr>
          <w:p>
            <w:r>
              <w:rPr>
                <w:b w:val="0"/>
                <w:sz w:val="17"/>
              </w:rPr>
              <w:t>ASL</w:t>
            </w:r>
          </w:p>
        </w:tc>
        <w:tc>
          <w:tcPr>
            <w:tcW w:type="dxa" w:w="2556"/>
            <w:vAlign w:val="center"/>
          </w:tcPr>
          <w:p>
            <w:r>
              <w:rPr>
                <w:b w:val="0"/>
                <w:sz w:val="17"/>
              </w:rPr>
              <w:t>Positive-negative imbalance</w:t>
            </w:r>
          </w:p>
        </w:tc>
        <w:tc>
          <w:tcPr>
            <w:tcW w:type="dxa" w:w="2556"/>
            <w:vAlign w:val="center"/>
          </w:tcPr>
          <w:p>
            <w:r>
              <w:rPr>
                <w:b w:val="0"/>
                <w:sz w:val="17"/>
              </w:rPr>
              <w:t>Gamma positif/negatif dan clipping dari validation set</w:t>
            </w:r>
          </w:p>
        </w:tc>
        <w:tc>
          <w:tcPr>
            <w:tcW w:type="dxa" w:w="2556"/>
            <w:vAlign w:val="center"/>
          </w:tcPr>
          <w:p>
            <w:r>
              <w:rPr>
                <w:b w:val="0"/>
                <w:sz w:val="17"/>
              </w:rPr>
              <w:t>Mengurangi pengaruh easy negatives</w:t>
            </w:r>
          </w:p>
        </w:tc>
      </w:tr>
      <w:tr>
        <w:tc>
          <w:tcPr>
            <w:tcW w:type="dxa" w:w="2556"/>
            <w:vAlign w:val="center"/>
          </w:tcPr>
          <w:p>
            <w:r>
              <w:rPr>
                <w:b w:val="0"/>
                <w:sz w:val="17"/>
              </w:rPr>
              <w:t>PolyLoss</w:t>
            </w:r>
          </w:p>
        </w:tc>
        <w:tc>
          <w:tcPr>
            <w:tcW w:type="dxa" w:w="2556"/>
            <w:vAlign w:val="center"/>
          </w:tcPr>
          <w:p>
            <w:r>
              <w:rPr>
                <w:b w:val="0"/>
                <w:sz w:val="17"/>
              </w:rPr>
              <w:t>Loss fleksibel</w:t>
            </w:r>
          </w:p>
        </w:tc>
        <w:tc>
          <w:tcPr>
            <w:tcW w:type="dxa" w:w="2556"/>
            <w:vAlign w:val="center"/>
          </w:tcPr>
          <w:p>
            <w:r>
              <w:rPr>
                <w:b w:val="0"/>
                <w:sz w:val="17"/>
              </w:rPr>
              <w:t>Epsilon dari validation set</w:t>
            </w:r>
          </w:p>
        </w:tc>
        <w:tc>
          <w:tcPr>
            <w:tcW w:type="dxa" w:w="2556"/>
            <w:vAlign w:val="center"/>
          </w:tcPr>
          <w:p>
            <w:r>
              <w:rPr>
                <w:b w:val="0"/>
                <w:sz w:val="17"/>
              </w:rPr>
              <w:t>Menguji modifikasi polinomial pada loss</w:t>
            </w:r>
          </w:p>
        </w:tc>
      </w:tr>
    </w:tbl>
    <w:p>
      <w:r>
        <w:t>Kontrol eksperimen: seluruh loss menggunakan patient-level split, backbone, preprocessing, augmentasi, optimizer, scheduler, epoch, seed, dan prosedur threshold yang sama. Data test hanya digunakan sekali untuk evaluasi akhir.</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b w:val="0"/>
                <w:sz w:val="17"/>
              </w:rPr>
              <w:t>Melatih lima varian loss dengan backbone dan konfigurasi yang sama; hanya loss yang berbeda.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b w:val="0"/>
                <w:color w:val="233447"/>
                <w:sz w:val="17"/>
                <w:rtl w:val="0"/>
              </w:rPr>
              <w:t>Menyimpan metrik, threshold, confusion summary, dan hasil per kelas untuk perbandingan lima fungsi loss.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Sistem memuat konfigurasi backbone, loss, hyperparameter setiap loss,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bersama mengekstraksi fitur dari mata kiri dan kanan, feature fusion membentuk representasi pasien, classification head menghasilkan delapan logit sigmoid, dan BCE, Weighted BCE, Focal Loss, ASL, atau PolyLoss mengoptimalkan parameter.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berupa tabel metrik agregat/per kelas, ringkasan mayoritas-minoritas, peta Layer-CAM, loss curve, dan log reproduksibilitas.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t>Ulangi seluruh loss pada seed yang ditetapkan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r>
        <w:tc>
          <w:tcPr>
            <w:tcW w:type="dxa" w:w="3303"/>
            <w:vAlign w:val="center"/>
          </w:tcPr>
          <w:p>
            <w:r>
              <w:rPr>
                <w:b w:val="0"/>
                <w:sz w:val="17"/>
              </w:rPr>
              <w:t>PolyLoss</w:t>
            </w:r>
          </w:p>
        </w:tc>
        <w:tc>
          <w:tcPr>
            <w:tcW w:type="dxa" w:w="3313"/>
            <w:vAlign w:val="center"/>
          </w:tcPr>
          <w:p>
            <w:r>
              <w:rPr>
                <w:b w:val="0"/>
                <w:sz w:val="17"/>
              </w:rPr>
              <w:t>Memberi modifikasi fleksibel pada loss klasifikasi dan telah kompetitif pada studi retinal multi-label.</w:t>
            </w:r>
          </w:p>
        </w:tc>
        <w:tc>
          <w:tcPr>
            <w:tcW w:type="dxa" w:w="3824"/>
            <w:vAlign w:val="center"/>
          </w:tcPr>
          <w:p>
            <w:r>
              <w:rPr>
                <w:b w:val="0"/>
                <w:sz w:val="17"/>
              </w:rPr>
              <w:t>Memerlukan parameter epsilon dari validation set; tidak diasumsikan lebih unggul sebelum eksperimen.</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backbone final yang digunakan ResNet50 atau EfficientNet-B0/B3 setelah uji resource awal?</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bobot Weighted BCE serta hyperparameter Focal Loss dan ASL ditetapkan dari validation set tanpa memakai data test?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dipilih secara konsisten, dan siapa yang melakukan review klinis bila review ahli tersedia?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Keputusan yang direkomendasikan adalah membandingkan BCE, Weighted BCE, Focal Loss, ASL, dan PolyLoss menggunakan backbone, split pasien, preprocessing, optimizer, dan epoch yang sama. Milestone pertama adalah pipeline data dan baseline BCE yang dapat direproduksi; tahap berikutnya adalah empat loss pembanding, evaluasi per kelas, dan Layer-CAM. Tidak ada rollout produksi sebelum validasi metodologi dan persetujuan pembimbing.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ASL + laporan per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dapat diulang dengan seed dan konfigurasi sama; hasil dan checkpoint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visual selesai; tidak ada klaim klinis tanpa validasi ahli.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