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ntTable.xml" ContentType="application/vnd.openxmlformats-officedocument.wordprocessingml.fontTable+xml"/>
  <Override PartName="/word/fonts/HelveticaNeue-bold.ttf" ContentType="application/x-font-ttf"/>
  <Override PartName="/word/fonts/HelveticaNeue-boldItalic.ttf" ContentType="application/x-font-ttf"/>
  <Override PartName="/word/fonts/HelveticaNeue-italic.ttf" ContentType="application/x-font-ttf"/>
  <Override PartName="/word/fonts/HelveticaNeue-regular.ttf" ContentType="application/x-font-ttf"/>
  <Override PartName="/word/fonts/HelveticaNeueLight-bold.ttf" ContentType="application/x-font-ttf"/>
  <Override PartName="/word/fonts/HelveticaNeueLight-boldItalic.ttf" ContentType="application/x-font-ttf"/>
  <Override PartName="/word/fonts/HelveticaNeueLight-italic.ttf" ContentType="application/x-font-ttf"/>
  <Override PartName="/word/fonts/HelveticaNeueLight-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0" w:line="270" w:lineRule="auto"/>
        <w:ind w:left="0" w:right="0" w:firstLine="0"/>
        <w:jc w:val="left"/>
        <w:rPr>
          <w:rFonts w:ascii="Helvetica Neue" w:cs="Helvetica Neue" w:eastAsia="Helvetica Neue" w:hAnsi="Helvetica Neue"/>
          <w:b w:val="1"/>
          <w:bCs w:val="1"/>
          <w:smallCaps w:val="1"/>
          <w:color w:val="5b7085"/>
        </w:rPr>
      </w:pPr>
      <w:r>
        <w:rPr>
          <w:rtl w:val="0"/>
        </w:rPr>
      </w:r>
    </w:p>
    <w:p w14:paraId="00000008">
      <w:pPr>
        <w:spacing w:after="0" w:before="0" w:line="20" w:lineRule="auto"/>
        <w:rPr>
          <w:rFonts w:ascii="Helvetica Neue" w:cs="Helvetica Neue" w:eastAsia="Helvetica Neue" w:hAnsi="Helvetica Neue"/>
          <w:color w:val="000000"/>
        </w:rPr>
      </w:pPr>
      <w:r>
        <w:rPr>
          <w:rtl w:val="0"/>
        </w:rPr>
      </w:r>
    </w:p>
    <w:p w14:paraId="00000009">
      <w:pPr>
        <w:pStyle w:val="Title"/>
        <w:spacing w:line="240" w:lineRule="auto"/>
        <w:rPr>
          <w:rFonts w:ascii="Helvetica Neue Light" w:cs="Helvetica Neue Light" w:eastAsia="Helvetica Neue Light" w:hAnsi="Helvetica Neue Light"/>
          <w:b w:val="0"/>
          <w:bCs w:val="0"/>
          <w:color w:val="5b7085"/>
          <w:sz w:val="72"/>
          <w:szCs w:val="72"/>
        </w:rPr>
      </w:pPr>
      <w:r>
        <w:rPr>
          <w:rFonts w:ascii="Helvetica Neue Light" w:cs="Helvetica Neue Light" w:eastAsia="Helvetica Neue Light" w:hAnsi="Helvetica Neue Light"/>
          <w:b w:val="0"/>
          <w:bCs w:val="0"/>
          <w:color w:val="5b7085"/>
          <w:sz w:val="72"/>
          <w:szCs w:val="72"/>
          <w:rtl w:val="0"/>
        </w:rPr>
        <w:t xml:space="preserve">Intelligent Fundus Screening</w:t>
      </w:r>
    </w:p>
    <w:p w14:paraId="0000000A">
      <w:pPr>
        <w:pStyle w:val="Title"/>
        <w:spacing w:line="240" w:lineRule="auto"/>
        <w:rPr>
          <w:rFonts w:ascii="Helvetica Neue" w:cs="Helvetica Neue" w:eastAsia="Helvetica Neue" w:hAnsi="Helvetica Neue"/>
          <w:sz w:val="72"/>
          <w:szCs w:val="72"/>
        </w:rPr>
      </w:pPr>
      <w:r>
        <w:t>Pengujian Fungsi Loss untuk Klasifikasi Multi-Label Penyakit Mata Menggunakan Citra Fundus ODIR-5K dan Layer-CAM</w:t>
      </w:r>
    </w:p>
    <w:p w14:paraId="0000000B">
      <w:pPr>
        <w:rPr>
          <w:rFonts w:ascii="Helvetica Neue" w:cs="Helvetica Neue" w:eastAsia="Helvetica Neue" w:hAnsi="Helvetica Neue"/>
        </w:rPr>
      </w:pPr>
      <w:r>
        <w:rPr>
          <w:rtl w:val="0"/>
        </w:rPr>
      </w:r>
    </w:p>
    <w:p w14:paraId="0000000C">
      <w:pPr>
        <w:rPr>
          <w:rFonts w:ascii="Helvetica Neue" w:cs="Helvetica Neue" w:eastAsia="Helvetica Neue" w:hAnsi="Helvetica Neue"/>
        </w:rPr>
      </w:pPr>
      <w:r>
        <w:rPr>
          <w:rtl w:val="0"/>
        </w:rPr>
      </w:r>
    </w:p>
    <w:p w14:paraId="0000000D">
      <w:pPr>
        <w:rPr>
          <w:rFonts w:ascii="Helvetica Neue" w:cs="Helvetica Neue" w:eastAsia="Helvetica Neue" w:hAnsi="Helvetica Neue"/>
        </w:rPr>
      </w:pPr>
      <w:r>
        <w:rPr>
          <w:rtl w:val="0"/>
        </w:rPr>
      </w:r>
    </w:p>
    <w:p w14:paraId="0000000E">
      <w:pPr>
        <w:rPr>
          <w:rFonts w:ascii="Helvetica Neue" w:cs="Helvetica Neue" w:eastAsia="Helvetica Neue" w:hAnsi="Helvetica Neue"/>
        </w:rPr>
      </w:pPr>
      <w:r>
        <w:rPr>
          <w:rtl w:val="0"/>
        </w:rPr>
      </w:r>
    </w:p>
    <w:p w14:paraId="0000000F">
      <w:pPr>
        <w:rPr>
          <w:rFonts w:ascii="Helvetica Neue" w:cs="Helvetica Neue" w:eastAsia="Helvetica Neue" w:hAnsi="Helvetica Neue"/>
        </w:rPr>
      </w:pPr>
      <w:r>
        <w:rPr>
          <w:rtl w:val="0"/>
        </w:rPr>
      </w:r>
    </w:p>
    <w:p w14:paraId="00000010">
      <w:pPr>
        <w:rPr>
          <w:rFonts w:ascii="Helvetica Neue" w:cs="Helvetica Neue" w:eastAsia="Helvetica Neue" w:hAnsi="Helvetica Neue"/>
        </w:rPr>
      </w:pPr>
      <w:r>
        <w:rPr>
          <w:rtl w:val="0"/>
        </w:rPr>
      </w:r>
    </w:p>
    <w:p w14:paraId="00000011">
      <w:pPr>
        <w:rPr>
          <w:rFonts w:ascii="Helvetica Neue" w:cs="Helvetica Neue" w:eastAsia="Helvetica Neue" w:hAnsi="Helvetica Neue"/>
        </w:rPr>
      </w:pPr>
      <w:r>
        <w:rPr>
          <w:rtl w:val="0"/>
        </w:rPr>
      </w:r>
    </w:p>
    <w:p w14:paraId="00000012">
      <w:pPr>
        <w:rPr>
          <w:rFonts w:ascii="Helvetica Neue" w:cs="Helvetica Neue" w:eastAsia="Helvetica Neue" w:hAnsi="Helvetica Neue"/>
        </w:rPr>
      </w:pPr>
      <w:r>
        <w:rPr>
          <w:rtl w:val="0"/>
        </w:rPr>
      </w:r>
    </w:p>
    <w:p w14:paraId="00000013">
      <w:pPr>
        <w:rPr>
          <w:rFonts w:ascii="Helvetica Neue" w:cs="Helvetica Neue" w:eastAsia="Helvetica Neue" w:hAnsi="Helvetica Neue"/>
        </w:rPr>
      </w:pPr>
      <w:r>
        <w:rPr>
          <w:rtl w:val="0"/>
        </w:rPr>
      </w:r>
    </w:p>
    <w:p w14:paraId="00000014">
      <w:pPr>
        <w:rPr>
          <w:rFonts w:ascii="Helvetica Neue" w:cs="Helvetica Neue" w:eastAsia="Helvetica Neue" w:hAnsi="Helvetica Neue"/>
        </w:rPr>
      </w:pPr>
      <w:r>
        <w:rPr>
          <w:rtl w:val="0"/>
        </w:rPr>
      </w:r>
    </w:p>
    <w:tbl>
      <w:tblPr>
        <w:tblStyle w:val="Table1"/>
        <w:tblW w:w="10400.0" w:type="dxa"/>
        <w:jc w:val="center"/>
        <w:tblLayout w:type="fixed"/>
        <w:tblLook w:val="0600"/>
      </w:tblPr>
      <w:tblGrid>
        <w:gridCol w:w="3200"/>
        <w:gridCol w:w="400"/>
        <w:gridCol w:w="3200"/>
        <w:gridCol w:w="400"/>
        <w:gridCol w:w="3200"/>
        <w:tblGridChange w:id="0">
          <w:tblGrid>
            <w:gridCol w:w="3200"/>
            <w:gridCol w:w="400"/>
            <w:gridCol w:w="3200"/>
            <w:gridCol w:w="400"/>
            <w:gridCol w:w="3200"/>
          </w:tblGrid>
        </w:tblGridChange>
      </w:tblGrid>
      <w:tr>
        <w:trPr>
          <w:cantSplit w:val="0"/>
          <w:tblHeader w:val="0"/>
        </w:trPr>
        <w:tc>
          <w:tcPr/>
          <w:p w14:paraId="00000015">
            <w:pPr>
              <w:pStyle w:val="Heading3"/>
              <w:rPr/>
            </w:pPr>
            <w:bookmarkStart w:colFirst="0" w:colLast="0" w:name="_heading=h.7ykrt4nkacae" w:id="0"/>
            <w:bookmarkEnd w:id="0"/>
            <w:r>
              <w:rPr>
                <w:rtl w:val="0"/>
              </w:rPr>
              <w:t xml:space="preserve">STATUS</w:t>
            </w:r>
          </w:p>
          <w:p w14:paraId="00000016">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Draft penelitian</w:t>
            </w:r>
            <w:r>
              <w:rPr>
                <w:rtl w:val="0"/>
              </w:rPr>
            </w:r>
          </w:p>
        </w:tc>
        <w:tc>
          <w:tcPr/>
          <w:p w14:paraId="00000017">
            <w:pPr>
              <w:rPr>
                <w:rFonts w:ascii="Helvetica Neue" w:cs="Helvetica Neue" w:eastAsia="Helvetica Neue" w:hAnsi="Helvetica Neue"/>
              </w:rPr>
            </w:pPr>
            <w:r>
              <w:rPr>
                <w:rtl w:val="0"/>
              </w:rPr>
            </w:r>
          </w:p>
        </w:tc>
        <w:tc>
          <w:tcPr/>
          <w:p w14:paraId="00000018">
            <w:pPr>
              <w:pStyle w:val="Heading3"/>
              <w:rPr/>
            </w:pPr>
            <w:bookmarkStart w:colFirst="0" w:colLast="0" w:name="_heading=h.yfftl1hqu8kl" w:id="1"/>
            <w:bookmarkEnd w:id="1"/>
            <w:r>
              <w:rPr>
                <w:rtl w:val="0"/>
              </w:rPr>
              <w:t xml:space="preserve">OWNER</w:t>
            </w:r>
            <w:r>
              <w:rPr>
                <w:rtl w:val="0"/>
              </w:rPr>
            </w:r>
          </w:p>
          <w:p w14:paraId="00000019">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c>
          <w:tcPr/>
          <w:p w14:paraId="0000001A">
            <w:pPr>
              <w:rPr>
                <w:rFonts w:ascii="Helvetica Neue" w:cs="Helvetica Neue" w:eastAsia="Helvetica Neue" w:hAnsi="Helvetica Neue"/>
              </w:rPr>
            </w:pPr>
            <w:r>
              <w:rPr>
                <w:rtl w:val="0"/>
              </w:rPr>
            </w:r>
          </w:p>
        </w:tc>
        <w:tc>
          <w:tcPr/>
          <w:p w14:paraId="0000001B">
            <w:pPr>
              <w:pStyle w:val="Heading3"/>
              <w:rPr/>
            </w:pPr>
            <w:bookmarkStart w:colFirst="0" w:colLast="0" w:name="_heading=h.jp27tbh10tsa" w:id="2"/>
            <w:bookmarkEnd w:id="2"/>
            <w:r>
              <w:rPr>
                <w:rtl w:val="0"/>
              </w:rPr>
              <w:t xml:space="preserve">LAST UPDATED</w:t>
            </w:r>
            <w:r>
              <w:rPr>
                <w:rtl w:val="0"/>
              </w:rPr>
            </w:r>
          </w:p>
          <w:p w14:paraId="0000001C">
            <w:pPr>
              <w:spacing w:after="110" w:line="300" w:lineRule="auto"/>
              <w:rPr>
                <w:rFonts w:ascii="Helvetica Neue" w:cs="Helvetica Neue" w:eastAsia="Helvetica Neue" w:hAnsi="Helvetica Neue"/>
              </w:rPr>
            </w:pPr>
            <w:r>
              <w:rPr>
                <w:rFonts w:ascii="Helvetica Neue" w:cs="Helvetica Neue" w:eastAsia="Helvetica Neue" w:hAnsi="Helvetica Neue"/>
                <w:rtl w:val="0"/>
              </w:rPr>
              <w:t xml:space="preserve">September 1, 2026</w:t>
            </w:r>
          </w:p>
        </w:tc>
      </w:tr>
    </w:tbl>
    <w:p w14:paraId="0000001D">
      <w:pPr>
        <w:spacing w:after="110" w:line="300" w:lineRule="auto"/>
        <w:rPr>
          <w:rFonts w:ascii="Helvetica Neue" w:cs="Helvetica Neue" w:eastAsia="Helvetica Neue" w:hAnsi="Helvetica Neue"/>
        </w:rPr>
      </w:pPr>
      <w:r>
        <w:rPr>
          <w:rtl w:val="0"/>
        </w:rPr>
      </w:r>
    </w:p>
    <w:tbl>
      <w:tblPr>
        <w:tblStyle w:val="Table2"/>
        <w:tblW w:w="10155.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1815"/>
        <w:gridCol w:w="8340"/>
        <w:tblGridChange w:id="0">
          <w:tblGrid>
            <w:gridCol w:w="1815"/>
            <w:gridCol w:w="8340"/>
          </w:tblGrid>
        </w:tblGridChange>
      </w:tblGrid>
      <w:tr>
        <w:trPr>
          <w:cantSplit w:val="1"/>
          <w:tblHeader w:val="0"/>
        </w:trPr>
        <w:tc>
          <w:tcPr>
            <w:shd w:fill="cfe2f3" w:val="clear"/>
            <w:tcMar>
              <w:top w:w="110.0" w:type="dxa"/>
              <w:left w:w="120.0" w:type="dxa"/>
              <w:bottom w:w="110.0" w:type="dxa"/>
              <w:right w:w="120.0" w:type="dxa"/>
            </w:tcMar>
            <w:vAlign w:val="center"/>
          </w:tcPr>
          <w:p w14:paraId="0000001E">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Authors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1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rHeight w:val="404.3103027343749" w:hRule="atLeast"/>
          <w:tblHeader w:val="0"/>
        </w:trPr>
        <w:tc>
          <w:tcPr>
            <w:shd w:fill="cfe2f3" w:val="clear"/>
            <w:tcMar>
              <w:top w:w="110.0" w:type="dxa"/>
              <w:left w:w="120.0" w:type="dxa"/>
              <w:bottom w:w="110.0" w:type="dxa"/>
              <w:right w:w="120.0" w:type="dxa"/>
            </w:tcMar>
            <w:vAlign w:val="center"/>
          </w:tcPr>
          <w:p w14:paraId="00000020">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Reviewers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Pembimbing</w:t>
            </w:r>
            <w:r>
              <w:rPr>
                <w:rtl w:val="0"/>
              </w:rPr>
            </w:r>
          </w:p>
        </w:tc>
      </w:tr>
      <w:tr>
        <w:trPr>
          <w:cantSplit w:val="1"/>
          <w:tblHeader w:val="0"/>
        </w:trPr>
        <w:tc>
          <w:tcPr>
            <w:shd w:fill="cfe2f3" w:val="clear"/>
            <w:tcMar>
              <w:top w:w="110.0" w:type="dxa"/>
              <w:left w:w="120.0" w:type="dxa"/>
              <w:bottom w:w="110.0" w:type="dxa"/>
              <w:right w:w="120.0" w:type="dxa"/>
            </w:tcMar>
            <w:vAlign w:val="center"/>
          </w:tcPr>
          <w:p w14:paraId="00000022">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Related docs</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Outline + Literature Matrix</w:t>
            </w:r>
            <w:r>
              <w:rPr>
                <w:rFonts w:ascii="Helvetica Neue" w:cs="Helvetica Neue" w:eastAsia="Helvetica Neue" w:hAnsi="Helvetica Neue"/>
                <w:rtl w:val="0"/>
              </w:rPr>
              <w:t xml:space="preserve"/>
            </w:r>
            <w:r>
              <w:rPr>
                <w:rFonts w:ascii="Helvetica Neue" w:cs="Helvetica Neue" w:eastAsia="Helvetica Neue" w:hAnsi="Helvetica Neue"/>
                <w:color w:val="233447"/>
                <w:rtl w:val="0"/>
              </w:rPr>
              <w:t xml:space="preserve"/>
            </w:r>
            <w:r>
              <w:rPr>
                <w:rtl w:val="0"/>
              </w:rPr>
            </w:r>
          </w:p>
        </w:tc>
      </w:tr>
      <w:tr>
        <w:trPr>
          <w:cantSplit w:val="1"/>
          <w:tblHeader w:val="0"/>
        </w:trPr>
        <w:tc>
          <w:tcPr>
            <w:shd w:fill="cfe2f3" w:val="clear"/>
            <w:tcMar>
              <w:top w:w="110.0" w:type="dxa"/>
              <w:left w:w="120.0" w:type="dxa"/>
              <w:bottom w:w="110.0" w:type="dxa"/>
              <w:right w:w="120.0" w:type="dxa"/>
            </w:tcMar>
            <w:vAlign w:val="center"/>
          </w:tcPr>
          <w:p w14:paraId="00000024">
            <w:pPr>
              <w:spacing w:after="25" w:before="20" w:line="285" w:lineRule="auto"/>
              <w:rPr>
                <w:rFonts w:ascii="Helvetica Neue" w:cs="Helvetica Neue" w:eastAsia="Helvetica Neue" w:hAnsi="Helvetica Neue"/>
                <w:color w:val="000000"/>
              </w:rPr>
            </w:pPr>
            <w:r>
              <w:rPr>
                <w:rFonts w:ascii="Helvetica Neue" w:cs="Helvetica Neue" w:eastAsia="Helvetica Neue" w:hAnsi="Helvetica Neue"/>
                <w:b w:val="1"/>
                <w:bCs w:val="1"/>
                <w:color w:val="000000"/>
                <w:rtl w:val="0"/>
              </w:rPr>
              <w:t xml:space="preserve">Scope</w:t>
            </w:r>
            <w:r>
              <w:rPr>
                <w:rtl w:val="0"/>
              </w:rPr>
            </w:r>
          </w:p>
        </w:tc>
        <w:tc>
          <w:tcPr>
            <w:tcBorders>
              <w:top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25">
            <w:pPr>
              <w:spacing w:after="25" w:before="20" w:line="285" w:lineRule="auto"/>
              <w:rPr>
                <w:rFonts w:ascii="Helvetica Neue" w:cs="Helvetica Neue" w:eastAsia="Helvetica Neue" w:hAnsi="Helvetica Neue"/>
              </w:rPr>
            </w:pPr>
            <w:r>
              <w:t>Desain eksperimen klasifikasi multi-label citra fundus ODIR-5K dengan perbandingan BCE, Weighted BCE, Focal Loss, ASL, dan analisis Layer-CAM.</w:t>
            </w:r>
          </w:p>
        </w:tc>
      </w:tr>
    </w:tbl>
    <w:p w14:paraId="00000026">
      <w:pPr>
        <w:pStyle w:val="Heading1"/>
        <w:pBdr>
          <w:top w:color="2f6b9a" w:space="2" w:sz="0" w:val="none"/>
          <w:left w:color="2f6b9a" w:space="2" w:sz="0" w:val="none"/>
          <w:bottom w:color="2f6b9a" w:space="2" w:sz="0" w:val="none"/>
          <w:right w:color="2f6b9a" w:space="2" w:sz="0" w:val="none"/>
        </w:pBdr>
        <w:spacing w:after="130" w:before="0" w:line="285" w:lineRule="auto"/>
        <w:rPr>
          <w:rFonts w:ascii="Helvetica Neue" w:cs="Helvetica Neue" w:eastAsia="Helvetica Neue" w:hAnsi="Helvetica Neue"/>
          <w:color w:val="000000"/>
        </w:rPr>
      </w:pPr>
      <w:r>
        <w:rPr>
          <w:rFonts w:ascii="Helvetica Neue" w:cs="Helvetica Neue" w:eastAsia="Helvetica Neue" w:hAnsi="Helvetica Neue"/>
          <w:color w:val="082a4a"/>
          <w:rtl w:val="0"/>
        </w:rPr>
        <w:t xml:space="preserve">1.  Abstract</w:t>
      </w:r>
      <w:r>
        <w:rPr>
          <w:rtl w:val="0"/>
        </w:rPr>
      </w:r>
    </w:p>
    <w:p w14:paraId="00000027">
      <w:pPr>
        <w:spacing w:after="110" w:line="300" w:lineRule="auto"/>
        <w:jc w:val="both"/>
        <w:rPr>
          <w:rFonts w:ascii="Helvetica Neue" w:cs="Helvetica Neue" w:eastAsia="Helvetica Neue" w:hAnsi="Helvetica Neue"/>
        </w:rPr>
      </w:pPr>
      <w:r>
        <w:t>Desain ini mengevaluasi sistem klasifikasi multi-label penyakit mata pada citra fundus ODIR-5K. Sistem membandingkan Binary Cross-Entropy (BCE), Weighted BCE, Focal Loss, Asymmetric Loss (ASL), dan PolyLoss dengan backbone, patient-level split, preprocessing, dan konfigurasi pelatihan yang sama. Tujuannya adalah mengukur fungsi loss yang paling sesuai untuk kelas mayoritas dan minoritas, serta meninjau dasar visual prediksi melalui Layer-CAM.</w:t>
      </w:r>
    </w:p>
    <w:p w14:paraId="00000028">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Desain mendukung pelatihan dan evaluasi eksperimen offline pada citra fundus berpasangan. Sistem tidak dimaksudkan untuk menggantikan diagnosis dokter, memberikan keputusan klinis otomatis, atau membuktikan validitas klinis melalui dataset retrospektif saja. Hasil eksperimen bergantung pada kualitas label ODIR-5K, patient-level split, sumber daya komputasi, dan pemilihan threshold yang didokumentasikan.</w:t>
      </w:r>
      <w:r>
        <w:rPr>
          <w:rtl w:val="0"/>
        </w:rPr>
      </w:r>
    </w:p>
    <w:p w14:paraId="00000029">
      <w:pPr>
        <w:spacing w:after="0" w:line="120" w:lineRule="auto"/>
        <w:jc w:val="both"/>
        <w:rPr>
          <w:rFonts w:ascii="Helvetica Neue" w:cs="Helvetica Neue" w:eastAsia="Helvetica Neue" w:hAnsi="Helvetica Neue"/>
        </w:rPr>
      </w:pPr>
      <w:r>
        <w:rPr>
          <w:rtl w:val="0"/>
        </w:rPr>
      </w:r>
    </w:p>
    <w:p w14:paraId="0000002A">
      <w:pPr>
        <w:pStyle w:val="Heading1"/>
        <w:rPr>
          <w:rFonts w:ascii="Helvetica Neue" w:cs="Helvetica Neue" w:eastAsia="Helvetica Neue" w:hAnsi="Helvetica Neue"/>
        </w:rPr>
      </w:pPr>
      <w:r>
        <w:rPr>
          <w:rFonts w:ascii="Helvetica Neue" w:cs="Helvetica Neue" w:eastAsia="Helvetica Neue" w:hAnsi="Helvetica Neue"/>
          <w:rtl w:val="0"/>
        </w:rPr>
        <w:t xml:space="preserve">2.  Goals and Non-Goals</w:t>
      </w:r>
    </w:p>
    <w:tbl>
      <w:tblPr>
        <w:tblStyle w:val="Table3"/>
        <w:tblW w:w="10224.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5112"/>
        <w:gridCol w:w="5112"/>
        <w:tblGridChange w:id="0">
          <w:tblGrid>
            <w:gridCol w:w="5112"/>
            <w:gridCol w:w="511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B">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Goals</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2C">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Non-goals</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D">
            <w:pPr>
              <w:spacing w:after="25" w:before="20" w:line="285" w:lineRule="auto"/>
              <w:rPr>
                <w:rFonts w:ascii="Helvetica Neue" w:cs="Helvetica Neue" w:eastAsia="Helvetica Neue" w:hAnsi="Helvetica Neue"/>
              </w:rPr>
            </w:pPr>
            <w:r>
              <w:rPr>
                <w:b w:val="0"/>
                <w:sz w:val="17"/>
              </w:rPr>
              <w:t>Mendapatkan perbandingan lima fungsi loss yang dapat direproduksi.</w:t>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2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Bukan sistem diagnosis klinis otonom.</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2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Mengukur performa agregat dan per kelas secara adil.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Tidak membangun arsitektur multi-task segmentasi pembuluh.</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Mencegah leakage melalui patient-level split.</w:t>
            </w:r>
            <w:r>
              <w:rPr>
                <w:rtl w:val="0"/>
              </w:rPr>
            </w:r>
          </w:p>
        </w:tc>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3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Tidak mencakup deployment rumah sakit atau aplikasi pasien.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Menyediakan log, versi model, dan hasil yang dapat diaudit.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34">
            <w:pPr>
              <w:spacing w:after="25" w:before="20" w:line="285" w:lineRule="auto"/>
              <w:rPr>
                <w:rFonts w:ascii="Helvetica Neue" w:cs="Helvetica Neue" w:eastAsia="Helvetica Neue" w:hAnsi="Helvetica Neue"/>
              </w:rPr>
            </w:pPr>
            <w:r>
              <w:t>Tidak menyatakan satu fungsi loss sebagai yang terbaik sebelum eksperimen.</w:t>
            </w:r>
          </w:p>
        </w:tc>
      </w:tr>
    </w:tbl>
    <w:p w14:paraId="00000035">
      <w:pPr>
        <w:pStyle w:val="Heading1"/>
        <w:spacing w:before="0" w:line="216" w:lineRule="auto"/>
        <w:rPr>
          <w:rFonts w:ascii="Helvetica Neue" w:cs="Helvetica Neue" w:eastAsia="Helvetica Neue" w:hAnsi="Helvetica Neue"/>
          <w:color w:val="000000"/>
        </w:rPr>
      </w:pPr>
      <w:r>
        <w:rPr>
          <w:rtl w:val="0"/>
        </w:rPr>
      </w:r>
    </w:p>
    <w:p w14:paraId="00000036">
      <w:pPr>
        <w:pStyle w:val="Heading1"/>
        <w:rPr>
          <w:rFonts w:ascii="Helvetica Neue" w:cs="Helvetica Neue" w:eastAsia="Helvetica Neue" w:hAnsi="Helvetica Neue"/>
        </w:rPr>
      </w:pPr>
      <w:r>
        <w:rPr>
          <w:rFonts w:ascii="Helvetica Neue" w:cs="Helvetica Neue" w:eastAsia="Helvetica Neue" w:hAnsi="Helvetica Neue"/>
          <w:rtl w:val="0"/>
        </w:rPr>
        <w:t xml:space="preserve">3.  Background and Problem Statement</w:t>
      </w:r>
    </w:p>
    <w:p w14:paraId="00000037">
      <w:pPr>
        <w:spacing w:after="110" w:line="300" w:lineRule="auto"/>
        <w:jc w:val="both"/>
        <w:rPr>
          <w:rFonts w:ascii="Helvetica Neue" w:cs="Helvetica Neue" w:eastAsia="Helvetica Neue" w:hAnsi="Helvetica Neue"/>
        </w:rPr>
      </w:pPr>
      <w:r>
        <w:t>Gangguan penglihatan merupakan masalah kesehatan global, sedangkan skrining manual membutuhkan tenaga ahli dan waktu. ODIR-5K mencerminkan kondisi nyata dengan delapan label dan kemungkinan beberapa penyakit pada satu kasus. Distribusi label yang tidak seimbang dapat membuat model lebih banyak menerima sinyal dari label negatif atau kelas mayoritas; dampaknya, kelas minoritas dapat kurang terdeteksi meskipun metrik agregat terlihat tinggi. Penelitian terdahulu sering menggabungkan banyak komponen, sehingga kontribusi fungsi loss sulit dipisahkan.</w:t>
      </w:r>
    </w:p>
    <w:p w14:paraId="00000038">
      <w:pPr>
        <w:spacing w:after="110" w:line="300" w:lineRule="auto"/>
        <w:jc w:val="both"/>
        <w:rPr>
          <w:rFonts w:ascii="Helvetica Neue" w:cs="Helvetica Neue" w:eastAsia="Helvetica Neue" w:hAnsi="Helvetica Neue"/>
          <w:color w:val="000000"/>
        </w:rPr>
      </w:pPr>
      <w:r>
        <w:t>Batas sistem dimulai dari manifest pasien dan pasangan citra fundus mata kiri-kanan, lalu mencakup preprocessing, patient-level split, pelatihan lima fungsi loss, evaluasi, dan Layer-CAM. Komponen data menyiapkan input dan label; komponen model menghasilkan probabilitas delapan label; komponen evaluasi menghitung metrik agregat dan per kelas; komponen XAI menghasilkan peta perhatian. Prinsip utama adalah seluruh faktor eksperimen harus tetap sama kecuali fungsi loss.</w:t>
      </w:r>
    </w:p>
    <w:p>
      <w:pPr>
        <w:pStyle w:val="Heading2"/>
      </w:pPr>
      <w:r>
        <w:t>Rancangan Pengujian Fungsi Loss</w:t>
      </w:r>
    </w:p>
    <w:tbl>
      <w:tblPr>
        <w:tblW w:type="auto" w:w="0"/>
        <w:jc w:val="center"/>
        <w:tblLook w:firstColumn="1" w:firstRow="1" w:lastColumn="0" w:lastRow="0" w:noHBand="0" w:noVBand="1" w:val="04A0"/>
      </w:tblPr>
      <w:tblGrid>
        <w:gridCol w:w="2556"/>
        <w:gridCol w:w="2556"/>
        <w:gridCol w:w="2556"/>
        <w:gridCol w:w="2556"/>
      </w:tblGrid>
      <w:tr>
        <w:tc>
          <w:tcPr>
            <w:tcW w:type="dxa" w:w="2556"/>
            <w:vAlign w:val="center"/>
            <w:shd w:fill="D9EAF7"/>
          </w:tcPr>
          <w:p>
            <w:r>
              <w:rPr>
                <w:b/>
                <w:sz w:val="17"/>
              </w:rPr>
              <w:t>Loss</w:t>
            </w:r>
          </w:p>
        </w:tc>
        <w:tc>
          <w:tcPr>
            <w:tcW w:type="dxa" w:w="2556"/>
            <w:vAlign w:val="center"/>
            <w:shd w:fill="D9EAF7"/>
          </w:tcPr>
          <w:p>
            <w:r>
              <w:rPr>
                <w:b/>
                <w:sz w:val="17"/>
              </w:rPr>
              <w:t>Posisi</w:t>
            </w:r>
          </w:p>
        </w:tc>
        <w:tc>
          <w:tcPr>
            <w:tcW w:type="dxa" w:w="2556"/>
            <w:vAlign w:val="center"/>
            <w:shd w:fill="D9EAF7"/>
          </w:tcPr>
          <w:p>
            <w:r>
              <w:rPr>
                <w:b/>
                <w:sz w:val="17"/>
              </w:rPr>
              <w:t>Parameter yang dikunci</w:t>
            </w:r>
          </w:p>
        </w:tc>
        <w:tc>
          <w:tcPr>
            <w:tcW w:type="dxa" w:w="2556"/>
            <w:vAlign w:val="center"/>
            <w:shd w:fill="D9EAF7"/>
          </w:tcPr>
          <w:p>
            <w:r>
              <w:rPr>
                <w:b/>
                <w:sz w:val="17"/>
              </w:rPr>
              <w:t>Pertanyaan yang diuji</w:t>
            </w:r>
          </w:p>
        </w:tc>
      </w:tr>
      <w:tr>
        <w:tc>
          <w:tcPr>
            <w:tcW w:type="dxa" w:w="2556"/>
            <w:vAlign w:val="center"/>
          </w:tcPr>
          <w:p>
            <w:r>
              <w:rPr>
                <w:b w:val="0"/>
                <w:sz w:val="17"/>
              </w:rPr>
              <w:t>BCE</w:t>
            </w:r>
          </w:p>
        </w:tc>
        <w:tc>
          <w:tcPr>
            <w:tcW w:type="dxa" w:w="2556"/>
            <w:vAlign w:val="center"/>
          </w:tcPr>
          <w:p>
            <w:r>
              <w:rPr>
                <w:b w:val="0"/>
                <w:sz w:val="17"/>
              </w:rPr>
              <w:t>Baseline</w:t>
            </w:r>
          </w:p>
        </w:tc>
        <w:tc>
          <w:tcPr>
            <w:tcW w:type="dxa" w:w="2556"/>
            <w:vAlign w:val="center"/>
          </w:tcPr>
          <w:p>
            <w:r>
              <w:rPr>
                <w:b w:val="0"/>
                <w:sz w:val="17"/>
              </w:rPr>
              <w:t>Tidak ada parameter khusus</w:t>
            </w:r>
          </w:p>
        </w:tc>
        <w:tc>
          <w:tcPr>
            <w:tcW w:type="dxa" w:w="2556"/>
            <w:vAlign w:val="center"/>
          </w:tcPr>
          <w:p>
            <w:r>
              <w:rPr>
                <w:b w:val="0"/>
                <w:sz w:val="17"/>
              </w:rPr>
              <w:t>Acuan kinerja standar</w:t>
            </w:r>
          </w:p>
        </w:tc>
      </w:tr>
      <w:tr>
        <w:tc>
          <w:tcPr>
            <w:tcW w:type="dxa" w:w="2556"/>
            <w:vAlign w:val="center"/>
          </w:tcPr>
          <w:p>
            <w:r>
              <w:rPr>
                <w:b w:val="0"/>
                <w:sz w:val="17"/>
              </w:rPr>
              <w:t>Weighted BCE</w:t>
            </w:r>
          </w:p>
        </w:tc>
        <w:tc>
          <w:tcPr>
            <w:tcW w:type="dxa" w:w="2556"/>
            <w:vAlign w:val="center"/>
          </w:tcPr>
          <w:p>
            <w:r>
              <w:rPr>
                <w:b w:val="0"/>
                <w:sz w:val="17"/>
              </w:rPr>
              <w:t>Pembobotan kelas</w:t>
            </w:r>
          </w:p>
        </w:tc>
        <w:tc>
          <w:tcPr>
            <w:tcW w:type="dxa" w:w="2556"/>
            <w:vAlign w:val="center"/>
          </w:tcPr>
          <w:p>
            <w:r>
              <w:rPr>
                <w:b w:val="0"/>
                <w:sz w:val="17"/>
              </w:rPr>
              <w:t>Bobot dari frekuensi label data latih</w:t>
            </w:r>
          </w:p>
        </w:tc>
        <w:tc>
          <w:tcPr>
            <w:tcW w:type="dxa" w:w="2556"/>
            <w:vAlign w:val="center"/>
          </w:tcPr>
          <w:p>
            <w:r>
              <w:rPr>
                <w:b w:val="0"/>
                <w:sz w:val="17"/>
              </w:rPr>
              <w:t>Meningkatkan perhatian pada label jarang</w:t>
            </w:r>
          </w:p>
        </w:tc>
      </w:tr>
      <w:tr>
        <w:tc>
          <w:tcPr>
            <w:tcW w:type="dxa" w:w="2556"/>
            <w:vAlign w:val="center"/>
          </w:tcPr>
          <w:p>
            <w:r>
              <w:rPr>
                <w:b w:val="0"/>
                <w:sz w:val="17"/>
              </w:rPr>
              <w:t>Focal Loss</w:t>
            </w:r>
          </w:p>
        </w:tc>
        <w:tc>
          <w:tcPr>
            <w:tcW w:type="dxa" w:w="2556"/>
            <w:vAlign w:val="center"/>
          </w:tcPr>
          <w:p>
            <w:r>
              <w:rPr>
                <w:b w:val="0"/>
                <w:sz w:val="17"/>
              </w:rPr>
              <w:t>Contoh sulit</w:t>
            </w:r>
          </w:p>
        </w:tc>
        <w:tc>
          <w:tcPr>
            <w:tcW w:type="dxa" w:w="2556"/>
            <w:vAlign w:val="center"/>
          </w:tcPr>
          <w:p>
            <w:r>
              <w:rPr>
                <w:b w:val="0"/>
                <w:sz w:val="17"/>
              </w:rPr>
              <w:t>Gamma dan alpha dari validation set</w:t>
            </w:r>
          </w:p>
        </w:tc>
        <w:tc>
          <w:tcPr>
            <w:tcW w:type="dxa" w:w="2556"/>
            <w:vAlign w:val="center"/>
          </w:tcPr>
          <w:p>
            <w:r>
              <w:rPr>
                <w:b w:val="0"/>
                <w:sz w:val="17"/>
              </w:rPr>
              <w:t>Mengurangi dominasi contoh mudah</w:t>
            </w:r>
          </w:p>
        </w:tc>
      </w:tr>
      <w:tr>
        <w:tc>
          <w:tcPr>
            <w:tcW w:type="dxa" w:w="2556"/>
            <w:vAlign w:val="center"/>
          </w:tcPr>
          <w:p>
            <w:r>
              <w:rPr>
                <w:b w:val="0"/>
                <w:sz w:val="17"/>
              </w:rPr>
              <w:t>ASL</w:t>
            </w:r>
          </w:p>
        </w:tc>
        <w:tc>
          <w:tcPr>
            <w:tcW w:type="dxa" w:w="2556"/>
            <w:vAlign w:val="center"/>
          </w:tcPr>
          <w:p>
            <w:r>
              <w:rPr>
                <w:b w:val="0"/>
                <w:sz w:val="17"/>
              </w:rPr>
              <w:t>Positive-negative imbalance</w:t>
            </w:r>
          </w:p>
        </w:tc>
        <w:tc>
          <w:tcPr>
            <w:tcW w:type="dxa" w:w="2556"/>
            <w:vAlign w:val="center"/>
          </w:tcPr>
          <w:p>
            <w:r>
              <w:rPr>
                <w:b w:val="0"/>
                <w:sz w:val="17"/>
              </w:rPr>
              <w:t>Gamma positif/negatif dan clipping dari validation set</w:t>
            </w:r>
          </w:p>
        </w:tc>
        <w:tc>
          <w:tcPr>
            <w:tcW w:type="dxa" w:w="2556"/>
            <w:vAlign w:val="center"/>
          </w:tcPr>
          <w:p>
            <w:r>
              <w:rPr>
                <w:b w:val="0"/>
                <w:sz w:val="17"/>
              </w:rPr>
              <w:t>Mengurangi pengaruh easy negatives</w:t>
            </w:r>
          </w:p>
        </w:tc>
      </w:tr>
      <w:tr>
        <w:tc>
          <w:tcPr>
            <w:tcW w:type="dxa" w:w="2556"/>
            <w:vAlign w:val="center"/>
          </w:tcPr>
          <w:p>
            <w:r>
              <w:rPr>
                <w:b w:val="0"/>
                <w:sz w:val="17"/>
              </w:rPr>
              <w:t>PolyLoss</w:t>
            </w:r>
          </w:p>
        </w:tc>
        <w:tc>
          <w:tcPr>
            <w:tcW w:type="dxa" w:w="2556"/>
            <w:vAlign w:val="center"/>
          </w:tcPr>
          <w:p>
            <w:r>
              <w:rPr>
                <w:b w:val="0"/>
                <w:sz w:val="17"/>
              </w:rPr>
              <w:t>Loss fleksibel</w:t>
            </w:r>
          </w:p>
        </w:tc>
        <w:tc>
          <w:tcPr>
            <w:tcW w:type="dxa" w:w="2556"/>
            <w:vAlign w:val="center"/>
          </w:tcPr>
          <w:p>
            <w:r>
              <w:rPr>
                <w:b w:val="0"/>
                <w:sz w:val="17"/>
              </w:rPr>
              <w:t>Epsilon dari validation set</w:t>
            </w:r>
          </w:p>
        </w:tc>
        <w:tc>
          <w:tcPr>
            <w:tcW w:type="dxa" w:w="2556"/>
            <w:vAlign w:val="center"/>
          </w:tcPr>
          <w:p>
            <w:r>
              <w:rPr>
                <w:b w:val="0"/>
                <w:sz w:val="17"/>
              </w:rPr>
              <w:t>Menguji modifikasi polinomial pada loss</w:t>
            </w:r>
          </w:p>
        </w:tc>
      </w:tr>
    </w:tbl>
    <w:p>
      <w:r>
        <w:t>Kontrol eksperimen: seluruh loss menggunakan patient-level split, backbone, preprocessing, augmentasi, optimizer, scheduler, epoch, seed, dan prosedur threshold yang sama. Data test hanya digunakan sekali untuk evaluasi akhir.</w:t>
      </w:r>
    </w:p>
    <w:p>
      <w:pPr>
        <w:pStyle w:val="Heading2"/>
      </w:pPr>
      <w:r>
        <w:t>Konfigurasi Model dan Pelatihan yang Ditetapkan</w:t>
      </w:r>
    </w:p>
    <w:tbl>
      <w:tblPr>
        <w:tblW w:type="auto" w:w="0"/>
        <w:jc w:val="center"/>
        <w:tblLook w:firstColumn="1" w:firstRow="1" w:lastColumn="0" w:lastRow="0" w:noHBand="0" w:noVBand="1" w:val="04A0"/>
      </w:tblPr>
      <w:tblGrid>
        <w:gridCol w:w="5112"/>
        <w:gridCol w:w="5112"/>
      </w:tblGrid>
      <w:tr>
        <w:tc>
          <w:tcPr>
            <w:tcW w:type="dxa" w:w="5112"/>
            <w:vAlign w:val="center"/>
            <w:shd w:fill="D9EAF7"/>
          </w:tcPr>
          <w:p>
            <w:r>
              <w:rPr>
                <w:b/>
                <w:sz w:val="17"/>
              </w:rPr>
              <w:t>Komponen</w:t>
            </w:r>
          </w:p>
        </w:tc>
        <w:tc>
          <w:tcPr>
            <w:tcW w:type="dxa" w:w="5112"/>
            <w:vAlign w:val="center"/>
            <w:shd w:fill="D9EAF7"/>
          </w:tcPr>
          <w:p>
            <w:r>
              <w:rPr>
                <w:b/>
                <w:sz w:val="17"/>
              </w:rPr>
              <w:t>Konfigurasi</w:t>
            </w:r>
          </w:p>
        </w:tc>
      </w:tr>
      <w:tr>
        <w:tc>
          <w:tcPr>
            <w:tcW w:type="dxa" w:w="5112"/>
            <w:vAlign w:val="center"/>
          </w:tcPr>
          <w:p>
            <w:r>
              <w:rPr>
                <w:b w:val="0"/>
                <w:sz w:val="17"/>
              </w:rPr>
              <w:t>Unit data</w:t>
            </w:r>
          </w:p>
        </w:tc>
        <w:tc>
          <w:tcPr>
            <w:tcW w:type="dxa" w:w="5112"/>
            <w:vAlign w:val="center"/>
          </w:tcPr>
          <w:p>
            <w:r>
              <w:rPr>
                <w:b w:val="0"/>
                <w:sz w:val="17"/>
              </w:rPr>
              <w:t>Pasien ODIR-5K, menggunakan pasangan citra mata kiri dan kanan.</w:t>
            </w:r>
          </w:p>
        </w:tc>
      </w:tr>
      <w:tr>
        <w:tc>
          <w:tcPr>
            <w:tcW w:type="dxa" w:w="5112"/>
            <w:vAlign w:val="center"/>
          </w:tcPr>
          <w:p>
            <w:r>
              <w:rPr>
                <w:b w:val="0"/>
                <w:sz w:val="17"/>
              </w:rPr>
              <w:t>Split data</w:t>
            </w:r>
          </w:p>
        </w:tc>
        <w:tc>
          <w:tcPr>
            <w:tcW w:type="dxa" w:w="5112"/>
            <w:vAlign w:val="center"/>
          </w:tcPr>
          <w:p>
            <w:r>
              <w:rPr>
                <w:b w:val="0"/>
                <w:sz w:val="17"/>
              </w:rPr>
              <w:t>70% train, 15% validation, 15% test pada level pasien dengan iterative multilabel stratification.</w:t>
            </w:r>
          </w:p>
        </w:tc>
      </w:tr>
      <w:tr>
        <w:tc>
          <w:tcPr>
            <w:tcW w:type="dxa" w:w="5112"/>
            <w:vAlign w:val="center"/>
          </w:tcPr>
          <w:p>
            <w:r>
              <w:rPr>
                <w:b w:val="0"/>
                <w:sz w:val="17"/>
              </w:rPr>
              <w:t>Input</w:t>
            </w:r>
          </w:p>
        </w:tc>
        <w:tc>
          <w:tcPr>
            <w:tcW w:type="dxa" w:w="5112"/>
            <w:vAlign w:val="center"/>
          </w:tcPr>
          <w:p>
            <w:r>
              <w:rPr>
                <w:b w:val="0"/>
                <w:sz w:val="17"/>
              </w:rPr>
              <w:t>Citra fundus dipotong pada area fundus, di-resize 224 x 224, lalu dinormalisasi dengan statistik ImageNet.</w:t>
            </w:r>
          </w:p>
        </w:tc>
      </w:tr>
      <w:tr>
        <w:tc>
          <w:tcPr>
            <w:tcW w:type="dxa" w:w="5112"/>
            <w:vAlign w:val="center"/>
          </w:tcPr>
          <w:p>
            <w:r>
              <w:rPr>
                <w:b w:val="0"/>
                <w:sz w:val="17"/>
              </w:rPr>
              <w:t>Augmentasi train</w:t>
            </w:r>
          </w:p>
        </w:tc>
        <w:tc>
          <w:tcPr>
            <w:tcW w:type="dxa" w:w="5112"/>
            <w:vAlign w:val="center"/>
          </w:tcPr>
          <w:p>
            <w:r>
              <w:rPr>
                <w:b w:val="0"/>
                <w:sz w:val="17"/>
              </w:rPr>
              <w:t>Horizontal flip, rotasi ringan hingga 15 derajat, dan color jitter ringan. Validation dan test tanpa augmentasi acak.</w:t>
            </w:r>
          </w:p>
        </w:tc>
      </w:tr>
      <w:tr>
        <w:tc>
          <w:tcPr>
            <w:tcW w:type="dxa" w:w="5112"/>
            <w:vAlign w:val="center"/>
          </w:tcPr>
          <w:p>
            <w:r>
              <w:rPr>
                <w:b w:val="0"/>
                <w:sz w:val="17"/>
              </w:rPr>
              <w:t>Backbone</w:t>
            </w:r>
          </w:p>
        </w:tc>
        <w:tc>
          <w:tcPr>
            <w:tcW w:type="dxa" w:w="5112"/>
            <w:vAlign w:val="center"/>
          </w:tcPr>
          <w:p>
            <w:r>
              <w:rPr>
                <w:b w:val="0"/>
                <w:sz w:val="17"/>
              </w:rPr>
              <w:t>ResNet50 pretrained ImageNet sebagai backbone tunggal bersama untuk mata kiri dan kanan.</w:t>
            </w:r>
          </w:p>
        </w:tc>
      </w:tr>
      <w:tr>
        <w:tc>
          <w:tcPr>
            <w:tcW w:type="dxa" w:w="5112"/>
            <w:vAlign w:val="center"/>
          </w:tcPr>
          <w:p>
            <w:r>
              <w:rPr>
                <w:b w:val="0"/>
                <w:sz w:val="17"/>
              </w:rPr>
              <w:t>Model</w:t>
            </w:r>
          </w:p>
        </w:tc>
        <w:tc>
          <w:tcPr>
            <w:tcW w:type="dxa" w:w="5112"/>
            <w:vAlign w:val="center"/>
          </w:tcPr>
          <w:p>
            <w:r>
              <w:rPr>
                <w:b w:val="0"/>
                <w:sz w:val="17"/>
              </w:rPr>
              <w:t>Dua fitur 2.048 dimensi dari backbone digabungkan (concatenate), dropout 0,30, lalu linear head delapan label dan sigmoid.</w:t>
            </w:r>
          </w:p>
        </w:tc>
      </w:tr>
      <w:tr>
        <w:tc>
          <w:tcPr>
            <w:tcW w:type="dxa" w:w="5112"/>
            <w:vAlign w:val="center"/>
          </w:tcPr>
          <w:p>
            <w:r>
              <w:rPr>
                <w:b w:val="0"/>
                <w:sz w:val="17"/>
              </w:rPr>
              <w:t>Optimizer</w:t>
            </w:r>
          </w:p>
        </w:tc>
        <w:tc>
          <w:tcPr>
            <w:tcW w:type="dxa" w:w="5112"/>
            <w:vAlign w:val="center"/>
          </w:tcPr>
          <w:p>
            <w:r>
              <w:rPr>
                <w:b w:val="0"/>
                <w:sz w:val="17"/>
              </w:rPr>
              <w:t>AdamW, learning rate 0,0001, weight decay 0,0001.</w:t>
            </w:r>
          </w:p>
        </w:tc>
      </w:tr>
      <w:tr>
        <w:tc>
          <w:tcPr>
            <w:tcW w:type="dxa" w:w="5112"/>
            <w:vAlign w:val="center"/>
          </w:tcPr>
          <w:p>
            <w:r>
              <w:rPr>
                <w:b w:val="0"/>
                <w:sz w:val="17"/>
              </w:rPr>
              <w:t>Pelatihan</w:t>
            </w:r>
          </w:p>
        </w:tc>
        <w:tc>
          <w:tcPr>
            <w:tcW w:type="dxa" w:w="5112"/>
            <w:vAlign w:val="center"/>
          </w:tcPr>
          <w:p>
            <w:r>
              <w:rPr>
                <w:b w:val="0"/>
                <w:sz w:val="17"/>
              </w:rPr>
              <w:t>Maksimum 30 epoch, batch size 16, early stopping patience 7, scheduler ReduceLROnPlateau berdasarkan validation Macro-F1.</w:t>
            </w:r>
          </w:p>
        </w:tc>
      </w:tr>
      <w:tr>
        <w:tc>
          <w:tcPr>
            <w:tcW w:type="dxa" w:w="5112"/>
            <w:vAlign w:val="center"/>
          </w:tcPr>
          <w:p>
            <w:r>
              <w:rPr>
                <w:b w:val="0"/>
                <w:sz w:val="17"/>
              </w:rPr>
              <w:t>Loss</w:t>
            </w:r>
          </w:p>
        </w:tc>
        <w:tc>
          <w:tcPr>
            <w:tcW w:type="dxa" w:w="5112"/>
            <w:vAlign w:val="center"/>
          </w:tcPr>
          <w:p>
            <w:r>
              <w:rPr>
                <w:b w:val="0"/>
                <w:sz w:val="17"/>
              </w:rPr>
              <w:t>BCE; Weighted BCE dengan pos_weight dari data latih; Focal Loss gamma 2; ASL gamma positif 0, gamma negatif 4, clipping 0,05; PolyLoss epsilon dipilih dari grid 0, 1, 2, 3 pada validation set.</w:t>
            </w:r>
          </w:p>
        </w:tc>
      </w:tr>
      <w:tr>
        <w:tc>
          <w:tcPr>
            <w:tcW w:type="dxa" w:w="5112"/>
            <w:vAlign w:val="center"/>
          </w:tcPr>
          <w:p>
            <w:r>
              <w:rPr>
                <w:b w:val="0"/>
                <w:sz w:val="17"/>
              </w:rPr>
              <w:t>Replikasi dan threshold</w:t>
            </w:r>
          </w:p>
        </w:tc>
        <w:tc>
          <w:tcPr>
            <w:tcW w:type="dxa" w:w="5112"/>
            <w:vAlign w:val="center"/>
          </w:tcPr>
          <w:p>
            <w:r>
              <w:rPr>
                <w:b w:val="0"/>
                <w:sz w:val="17"/>
              </w:rPr>
              <w:t>Tiga seed: 42, 52, 62. Threshold per label dipilih pada validation set dengan aturan yang sama, lalu dikunci untuk test.</w:t>
            </w:r>
          </w:p>
        </w:tc>
      </w:tr>
      <w:tr>
        <w:tc>
          <w:tcPr>
            <w:tcW w:type="dxa" w:w="5112"/>
            <w:vAlign w:val="center"/>
          </w:tcPr>
          <w:p>
            <w:r>
              <w:rPr>
                <w:b w:val="0"/>
                <w:sz w:val="17"/>
              </w:rPr>
              <w:t>Evaluasi</w:t>
            </w:r>
          </w:p>
        </w:tc>
        <w:tc>
          <w:tcPr>
            <w:tcW w:type="dxa" w:w="5112"/>
            <w:vAlign w:val="center"/>
          </w:tcPr>
          <w:p>
            <w:r>
              <w:rPr>
                <w:b w:val="0"/>
                <w:sz w:val="17"/>
              </w:rPr>
              <w:t>Macro-F1 sebagai metrik utama; Micro-F1, AUROC per kelas dan macro, precision, recall, F1 per kelas, Hamming Loss, serta ringkasan mayoritas-minoritas.</w:t>
            </w:r>
          </w:p>
        </w:tc>
      </w:tr>
    </w:tbl>
    <w:p>
      <w:r>
        <w:t>Kriteria perbandingan: setiap fungsi loss dijalankan tiga kali pada seed yang sama. Hasil dilaporkan sebagai rerata dan simpangan baku, serta hasil per kelas.</w:t>
      </w:r>
    </w:p>
    <w:p w14:paraId="00000039">
      <w:pPr>
        <w:pStyle w:val="Heading1"/>
        <w:rPr>
          <w:rFonts w:ascii="Helvetica Neue" w:cs="Helvetica Neue" w:eastAsia="Helvetica Neue" w:hAnsi="Helvetica Neue"/>
        </w:rPr>
      </w:pPr>
      <w:r>
        <w:rPr>
          <w:rFonts w:ascii="Helvetica Neue" w:cs="Helvetica Neue" w:eastAsia="Helvetica Neue" w:hAnsi="Helvetica Neue"/>
          <w:rtl w:val="0"/>
        </w:rPr>
        <w:t xml:space="preserve">4.  Proposed Architecture</w:t>
      </w:r>
    </w:p>
    <w:p w14:paraId="0000003A">
      <w:pPr>
        <w:spacing w:after="0" w:line="144" w:lineRule="auto"/>
        <w:rPr>
          <w:rFonts w:ascii="Helvetica Neue" w:cs="Helvetica Neue" w:eastAsia="Helvetica Neue" w:hAnsi="Helvetica Neue"/>
        </w:rPr>
      </w:pPr>
      <w:r>
        <w:rPr>
          <w:rtl w:val="0"/>
        </w:rPr>
      </w:r>
    </w:p>
    <w:p w14:paraId="0000003B">
      <w:pPr>
        <w:rPr>
          <w:rFonts w:ascii="Helvetica Neue" w:cs="Helvetica Neue" w:eastAsia="Helvetica Neue" w:hAnsi="Helvetica Neue"/>
        </w:rPr>
      </w:pPr>
      <w:r>
        <w:rPr>
          <w:rFonts w:ascii="Helvetica Neue" w:cs="Helvetica Neue" w:eastAsia="Helvetica Neue" w:hAnsi="Helvetica Neue"/>
        </w:rPr>
        <w:drawing>
          <wp:inline distB="0" distT="0" distL="0" distR="0">
            <wp:extent cx="6126480" cy="3139821"/>
            <wp:effectExtent b="0" l="0" r="0" t="0"/>
            <wp:docPr id="1"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6126480" cy="3139821"/>
                    </a:xfrm>
                    <a:prstGeom prst="rect"/>
                    <a:ln/>
                  </pic:spPr>
                </pic:pic>
              </a:graphicData>
            </a:graphic>
          </wp:inline>
        </w:drawing>
      </w:r>
      <w:r>
        <w:rPr>
          <w:rtl w:val="0"/>
        </w:rPr>
      </w:r>
    </w:p>
    <w:p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Fonts w:ascii="Helvetica Neue" w:cs="Helvetica Neue" w:eastAsia="Helvetica Neue" w:hAnsi="Helvetica Neue"/>
          <w:color w:val="082a4a"/>
          <w:rtl w:val="0"/>
        </w:rPr>
        <w:t xml:space="preserve">Figure 1. ODIR-5K multi-label fundus classification architecture.</w:t>
      </w:r>
    </w:p>
    <w:p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0" w:line="270" w:lineRule="auto"/>
        <w:ind w:left="0" w:right="0" w:firstLine="0"/>
        <w:jc w:val="left"/>
        <w:rPr>
          <w:rFonts w:ascii="Helvetica Neue" w:cs="Helvetica Neue" w:eastAsia="Helvetica Neue" w:hAnsi="Helvetica Neue"/>
          <w:color w:val="082a4a"/>
        </w:rPr>
      </w:pPr>
      <w:r>
        <w:rPr>
          <w:rtl w:val="0"/>
        </w:rPr>
      </w:r>
    </w:p>
    <w:p w14:paraId="0000003E">
      <w:pPr>
        <w:pStyle w:val="Heading3"/>
        <w:spacing w:after="90" w:line="280" w:lineRule="auto"/>
        <w:rPr/>
      </w:pPr>
      <w:bookmarkStart w:colFirst="0" w:colLast="0" w:name="_heading=h.z8y8vnqzkka4" w:id="3"/>
      <w:bookmarkEnd w:id="3"/>
      <w:r>
        <w:rPr>
          <w:rtl w:val="0"/>
        </w:rPr>
        <w:t xml:space="preserve">Core components</w:t>
      </w:r>
    </w:p>
    <w:p w14:paraId="0000003F">
      <w:pPr>
        <w:spacing w:after="0" w:before="20" w:line="240" w:lineRule="auto"/>
        <w:rPr>
          <w:rFonts w:ascii="Helvetica Neue" w:cs="Helvetica Neue" w:eastAsia="Helvetica Neue" w:hAnsi="Helvetica Neue"/>
          <w:sz w:val="16"/>
          <w:szCs w:val="16"/>
        </w:rPr>
      </w:pPr>
      <w:r>
        <w:rPr>
          <w:rtl w:val="0"/>
        </w:rPr>
      </w:r>
    </w:p>
    <w:tbl>
      <w:tblPr>
        <w:tblStyle w:val="Table4"/>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268"/>
        <w:gridCol w:w="3164"/>
        <w:gridCol w:w="2374"/>
        <w:gridCol w:w="2634"/>
        <w:tblGridChange w:id="0">
          <w:tblGrid>
            <w:gridCol w:w="2268"/>
            <w:gridCol w:w="3164"/>
            <w:gridCol w:w="2374"/>
            <w:gridCol w:w="263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Component</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1">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Responsibility</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2">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Primary storage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4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Failure behavior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Data and preprocessing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Memeriksa kualitas citra, resize, normalisasi, augmentasi, serta membentuk label multi-label.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ODIR-5K manifest and image files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Mencatat citra/label bermasalah dan menghentikan proses bila input wajib tidak lengkap.</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Controlled model trainer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9">
            <w:pPr>
              <w:spacing w:after="25" w:before="20" w:line="285" w:lineRule="auto"/>
              <w:rPr>
                <w:rFonts w:ascii="Helvetica Neue" w:cs="Helvetica Neue" w:eastAsia="Helvetica Neue" w:hAnsi="Helvetica Neue"/>
              </w:rPr>
            </w:pPr>
            <w:r>
              <w:rPr>
                <w:b w:val="0"/>
                <w:sz w:val="17"/>
              </w:rPr>
              <w:t>Melatih lima varian loss dengan backbone dan konfigurasi yang sama; hanya loss yang berbeda.</w:t>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Experiment configuration and seed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4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Fail-closed: eksperimen tidak dipublikasikan bila konfigurasi atau seed tidak tercatat.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4C">
            <w:pPr>
              <w:spacing w:after="25" w:before="20" w:line="285" w:lineRule="auto"/>
              <w:rPr>
                <w:rFonts w:ascii="Helvetica Neue" w:cs="Helvetica Neue" w:eastAsia="Helvetica Neue" w:hAnsi="Helvetica Neue"/>
              </w:rPr>
            </w:pPr>
            <w:r>
              <w:t>Inference and Layer-CAM</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D">
            <w:pPr>
              <w:spacing w:after="25" w:before="20" w:line="285" w:lineRule="auto"/>
              <w:rPr>
                <w:rFonts w:ascii="Helvetica Neue" w:cs="Helvetica Neue" w:eastAsia="Helvetica Neue" w:hAnsi="Helvetica Neue"/>
              </w:rPr>
            </w:pPr>
            <w:r>
              <w:t>Menghasilkan probabilitas delapan label dan peta Layer-CAM untuk label yang dipilih.</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Versioned model checkpoint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4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Jika checkpoint tidak cocok atau inference gagal, hasil ditandai tidak valid dan tidak dipakai dalam agregasi.</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Evaluation and audit</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1">
            <w:pPr>
              <w:spacing w:after="25" w:before="20" w:line="285" w:lineRule="auto"/>
              <w:rPr>
                <w:rFonts w:ascii="Helvetica Neue" w:cs="Helvetica Neue" w:eastAsia="Helvetica Neue" w:hAnsi="Helvetica Neue"/>
              </w:rPr>
            </w:pPr>
            <w:r>
              <w:rPr>
                <w:rFonts w:ascii="Helvetica Neue" w:cs="Helvetica Neue" w:eastAsia="Helvetica Neue" w:hAnsi="Helvetica Neue"/>
                <w:b w:val="0"/>
                <w:color w:val="233447"/>
                <w:sz w:val="17"/>
                <w:rtl w:val="0"/>
              </w:rPr>
              <w:t>Menyimpan metrik, threshold, confusion summary, dan hasil per kelas untuk perbandingan lima fungsi loss.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Versioned experiment results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5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Kegagalan penulisan menghentikan publikasi hasil; eksperimen dapat dijalankan ulang dari checkpoint.</w:t>
            </w:r>
            <w:r>
              <w:rPr>
                <w:rtl w:val="0"/>
              </w:rPr>
            </w:r>
          </w:p>
        </w:tc>
      </w:tr>
      <w:tr>
        <w:trPr>
          <w:cantSplit w:val="1"/>
          <w:trHeight w:val="58" w:hRule="atLeast"/>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54">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Telemetry and reporting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5">
            <w:pPr>
              <w:spacing w:after="25" w:line="285" w:lineRule="auto"/>
              <w:rPr>
                <w:rFonts w:ascii="Helvetica Neue" w:cs="Helvetica Neue" w:eastAsia="Helvetica Neue" w:hAnsi="Helvetica Neue"/>
              </w:rPr>
            </w:pPr>
            <w:r>
              <w:t>Mencatat seed, versi kode, durasi, loss curve, metrik, dan sampel Layer-CAM.</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6">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Experiment log and report files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57">
            <w:pPr>
              <w:spacing w:after="25"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Eksperimen tanpa log lengkap diberi status tidak lengkap dan memerlukan review manual.</w:t>
            </w:r>
            <w:r>
              <w:rPr>
                <w:rtl w:val="0"/>
              </w:rPr>
            </w:r>
          </w:p>
        </w:tc>
      </w:tr>
    </w:tbl>
    <w:p w14:paraId="00000058">
      <w:pPr>
        <w:pStyle w:val="Heading1"/>
        <w:spacing w:before="0" w:line="120" w:lineRule="auto"/>
        <w:rPr>
          <w:rFonts w:ascii="Helvetica Neue" w:cs="Helvetica Neue" w:eastAsia="Helvetica Neue" w:hAnsi="Helvetica Neue"/>
          <w:color w:val="000000"/>
        </w:rPr>
      </w:pPr>
      <w:r>
        <w:rPr>
          <w:rtl w:val="0"/>
        </w:rPr>
      </w:r>
    </w:p>
    <w:p w14:paraId="00000059">
      <w:pPr>
        <w:pStyle w:val="Heading1"/>
        <w:spacing w:before="0" w:line="120" w:lineRule="auto"/>
        <w:rPr>
          <w:rFonts w:ascii="Helvetica Neue" w:cs="Helvetica Neue" w:eastAsia="Helvetica Neue" w:hAnsi="Helvetica Neue"/>
          <w:color w:val="000000"/>
        </w:rPr>
      </w:pPr>
      <w:r>
        <w:rPr>
          <w:rtl w:val="0"/>
        </w:rPr>
      </w:r>
    </w:p>
    <w:p w14:paraId="0000005A">
      <w:pPr>
        <w:pStyle w:val="Heading1"/>
        <w:rPr>
          <w:rFonts w:ascii="Helvetica Neue" w:cs="Helvetica Neue" w:eastAsia="Helvetica Neue" w:hAnsi="Helvetica Neue"/>
        </w:rPr>
      </w:pPr>
      <w:r>
        <w:rPr>
          <w:rFonts w:ascii="Helvetica Neue" w:cs="Helvetica Neue" w:eastAsia="Helvetica Neue" w:hAnsi="Helvetica Neue"/>
          <w:rtl w:val="0"/>
        </w:rPr>
        <w:t xml:space="preserve">5.  Request Lifecycle</w:t>
      </w:r>
    </w:p>
    <w:p w14:paraId="0000005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Job eksperimen masuk dengan manifest ODIR-5K, folder citra, label, konfigurasi model, seed, dan daftar split pasien.</w:t>
      </w:r>
      <w:r>
        <w:rPr>
          <w:rtl w:val="0"/>
        </w:rPr>
      </w:r>
    </w:p>
    <w:p w14:paraId="0000005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Validasi memeriksa keberadaan citra, kesesuaian patient ID, rentang label, ukuran input, dan normalisasi yang sama untuk train/validation/test.</w:t>
      </w:r>
      <w:r>
        <w:rPr>
          <w:rtl w:val="0"/>
        </w:rPr>
      </w:r>
    </w:p>
    <w:p w14:paraId="0000005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Sistem memuat konfigurasi backbone, loss, hyperparameter setiap loss, threshold, seed, versi preprocessing, dan daftar pasien tiap split.</w:t>
      </w:r>
      <w:r>
        <w:rPr>
          <w:rtl w:val="0"/>
        </w:rPr>
      </w:r>
    </w:p>
    <w:p w14:paraId="0000005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Backbone bersama mengekstraksi fitur dari mata kiri dan kanan, feature fusion membentuk representasi pasien, classification head menghasilkan delapan logit sigmoid, dan BCE, Weighted BCE, Focal Loss, ASL, atau PolyLoss mengoptimalkan parameter.</w:t>
      </w:r>
    </w:p>
    <w:p w14:paraId="0000005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Sebelum evaluasi, sistem menyimpan checkpoint, konfigurasi, seed, daftar indeks pasien, dan hash manifest.</w:t>
      </w:r>
      <w:r>
        <w:rPr>
          <w:rtl w:val="0"/>
        </w:rPr>
      </w:r>
    </w:p>
    <w:p w14:paraId="0000006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Evaluasi dan Layer-CAM dijalankan setelah checkpoint valid. Job gagal diulang dengan konfigurasi sama; hasil berhenti jika input atau checkpoint berubah.</w:t>
      </w:r>
    </w:p>
    <w:p w14:paraId="0000006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Output akhir berupa tabel metrik agregat/per kelas, ringkasan mayoritas-minoritas, peta Layer-CAM, loss curve, dan log reproduksibilitas.</w:t>
      </w:r>
    </w:p>
    <w:p w14:paraId="00000062">
      <w:pPr>
        <w:pStyle w:val="Heading1"/>
        <w:spacing w:before="0" w:line="168" w:lineRule="auto"/>
        <w:rPr>
          <w:rFonts w:ascii="Helvetica Neue" w:cs="Helvetica Neue" w:eastAsia="Helvetica Neue" w:hAnsi="Helvetica Neue"/>
          <w:color w:val="000000"/>
        </w:rPr>
      </w:pPr>
      <w:r>
        <w:rPr>
          <w:rtl w:val="0"/>
        </w:rPr>
      </w:r>
    </w:p>
    <w:p w14:paraId="00000063">
      <w:pPr>
        <w:pStyle w:val="Heading1"/>
        <w:rPr>
          <w:rFonts w:ascii="Helvetica Neue" w:cs="Helvetica Neue" w:eastAsia="Helvetica Neue" w:hAnsi="Helvetica Neue"/>
        </w:rPr>
      </w:pPr>
      <w:r>
        <w:rPr>
          <w:rFonts w:ascii="Helvetica Neue" w:cs="Helvetica Neue" w:eastAsia="Helvetica Neue" w:hAnsi="Helvetica Neue"/>
          <w:rtl w:val="0"/>
        </w:rPr>
        <w:t xml:space="preserve">6.  API and Data Contracts</w:t>
      </w:r>
    </w:p>
    <w:p w14:paraId="00000064">
      <w:pPr>
        <w:pStyle w:val="Heading3"/>
        <w:spacing w:after="90" w:line="280" w:lineRule="auto"/>
        <w:rPr/>
      </w:pPr>
      <w:bookmarkStart w:colFirst="0" w:colLast="0" w:name="_heading=h.tw1sfexklg0y" w:id="4"/>
      <w:bookmarkEnd w:id="4"/>
      <w:r>
        <w:rPr>
          <w:rtl w:val="0"/>
        </w:rPr>
        <w:t xml:space="preserve">Primary data contract</w:t>
      </w:r>
    </w:p>
    <w:p w14:paraId="00000065">
      <w:pPr>
        <w:spacing w:after="0" w:line="192" w:lineRule="auto"/>
        <w:rPr>
          <w:rFonts w:ascii="Helvetica Neue" w:cs="Helvetica Neue" w:eastAsia="Helvetica Neue" w:hAnsi="Helvetica Neue"/>
          <w:sz w:val="16"/>
          <w:szCs w:val="16"/>
        </w:rPr>
      </w:pPr>
      <w:r>
        <w:rPr>
          <w:rtl w:val="0"/>
        </w:rPr>
      </w:r>
    </w:p>
    <w:tbl>
      <w:tblPr>
        <w:tblStyle w:val="Table5"/>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344"/>
        <w:gridCol w:w="1921"/>
        <w:gridCol w:w="1873"/>
        <w:gridCol w:w="4302"/>
        <w:tblGridChange w:id="0">
          <w:tblGrid>
            <w:gridCol w:w="2344"/>
            <w:gridCol w:w="1921"/>
            <w:gridCol w:w="1873"/>
            <w:gridCol w:w="4302"/>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Field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Type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8">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Required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69">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Description</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patient_id</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tcMar>
              <w:top w:w="110.0" w:type="dxa"/>
              <w:left w:w="120.0" w:type="dxa"/>
              <w:bottom w:w="110.0" w:type="dxa"/>
              <w:right w:w="120.0" w:type="dxa"/>
            </w:tcMar>
            <w:vAlign w:val="center"/>
          </w:tcPr>
          <w:p w14:paraId="0000006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 pasien untuk memastikan split dilakukan pada level pasien; tidak ditampilkan dalam visual publik.</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6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image_id</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6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 unik citra mata kiri/kanan dari manifest ODIR-5K.</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image_tensor</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Tensor citra setelah resize dan normalisasi; preprocessing version wajib dicatat.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label_vector</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Vektor delapan label biner yang terkait dengan patient_id dan image_id.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split</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7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Nilai train/validation/test; harus konsisten dengan patient-level manifest.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7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model_version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7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8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Identitas backbone, loss, seed, dan versi kode yang menghasilkan checkpoint.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8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prediction_and_xai</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string</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Yes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85">
            <w:pPr>
              <w:spacing w:after="25" w:before="20" w:line="285" w:lineRule="auto"/>
              <w:rPr>
                <w:rFonts w:ascii="Helvetica Neue" w:cs="Helvetica Neue" w:eastAsia="Helvetica Neue" w:hAnsi="Helvetica Neue"/>
              </w:rPr>
            </w:pPr>
            <w:r>
              <w:t>Probabilitas per label, threshold, dan lokasi file Layer-CAM untuk audit analisis.</w:t>
            </w:r>
          </w:p>
        </w:tc>
      </w:tr>
    </w:tbl>
    <w:p w14:paraId="00000086">
      <w:pPr>
        <w:spacing w:after="0" w:line="192" w:lineRule="auto"/>
        <w:rPr>
          <w:rFonts w:ascii="Helvetica Neue" w:cs="Helvetica Neue" w:eastAsia="Helvetica Neue" w:hAnsi="Helvetica Neue"/>
          <w:sz w:val="16"/>
          <w:szCs w:val="16"/>
        </w:rPr>
      </w:pPr>
      <w:r>
        <w:rPr>
          <w:rtl w:val="0"/>
        </w:rPr>
      </w:r>
    </w:p>
    <w:p w14:paraId="00000087">
      <w:pPr>
        <w:pStyle w:val="Heading3"/>
        <w:spacing w:after="90" w:line="280" w:lineRule="auto"/>
        <w:rPr/>
      </w:pPr>
      <w:bookmarkStart w:colFirst="0" w:colLast="0" w:name="_heading=h.379jmrhyew9b" w:id="5"/>
      <w:bookmarkEnd w:id="5"/>
      <w:r>
        <w:rPr>
          <w:rtl w:val="0"/>
        </w:rPr>
        <w:t xml:space="preserve">Contract guarantees</w:t>
      </w:r>
    </w:p>
    <w:p w14:paraId="00000088">
      <w:pPr>
        <w:spacing w:after="0" w:line="192" w:lineRule="auto"/>
        <w:rPr>
          <w:rFonts w:ascii="Helvetica Neue" w:cs="Helvetica Neue" w:eastAsia="Helvetica Neue" w:hAnsi="Helvetica Neue"/>
          <w:sz w:val="16"/>
          <w:szCs w:val="16"/>
        </w:rPr>
      </w:pPr>
      <w:r>
        <w:rPr>
          <w:rtl w:val="0"/>
        </w:rPr>
      </w:r>
    </w:p>
    <w:p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Evaluasi hanya berjalan setelah manifest, split pasien, konfigurasi, dan checkpoint lolos validasi.</w:t>
      </w:r>
      <w:r>
        <w:rPr>
          <w:rtl w:val="0"/>
        </w:rPr>
      </w:r>
    </w:p>
    <w:p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Setiap run memiliki run_id berdasarkan timestamp, seed, hash konfigurasi, dan model version.</w:t>
      </w:r>
      <w:r>
        <w:rPr>
          <w:rtl w:val="0"/>
        </w:rPr>
      </w:r>
    </w:p>
    <w:p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Simpan patient split, preprocessing version, loss parameters, threshold, checkpoint hash, dan versi kode.</w:t>
      </w:r>
      <w:r>
        <w:rPr>
          <w:rtl w:val="0"/>
        </w:rPr>
      </w:r>
    </w:p>
    <w:p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5" w:before="0" w:line="290" w:lineRule="auto"/>
        <w:ind w:left="72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Hasil adalah bukti evaluasi eksperimental; bukan sumber kebenaran diagnosis klinis.</w:t>
      </w:r>
      <w:r>
        <w:rPr>
          <w:rtl w:val="0"/>
        </w:rPr>
      </w:r>
    </w:p>
    <w:p w14:paraId="0000008D">
      <w:pPr>
        <w:spacing w:after="110" w:line="300" w:lineRule="auto"/>
        <w:rPr>
          <w:rFonts w:ascii="Helvetica Neue" w:cs="Helvetica Neue" w:eastAsia="Helvetica Neue" w:hAnsi="Helvetica Neue"/>
        </w:rPr>
      </w:pPr>
      <w:r>
        <w:rPr>
          <w:rFonts w:ascii="Helvetica Neue" w:cs="Helvetica Neue" w:eastAsia="Helvetica Neue" w:hAnsi="Helvetica Neue"/>
          <w:color w:val="233447"/>
          <w:rtl w:val="0"/>
        </w:rPr>
        <w:t xml:space="preserve">The versioned schema or interface definition is published at </w:t>
      </w:r>
      <w:r>
        <w:rPr>
          <w:rtl w:val="0"/>
        </w:rPr>
      </w:r>
    </w:p>
    <w:p w14:paraId="0000008E">
      <w:pPr>
        <w:spacing w:after="110" w:line="300" w:lineRule="auto"/>
        <w:rPr>
          <w:rFonts w:ascii="Helvetica Neue" w:cs="Helvetica Neue" w:eastAsia="Helvetica Neue" w:hAnsi="Helvetica Neue"/>
        </w:rPr>
      </w:pPr>
      <w:hyperlink r:id="rId9">
        <w:r>
          <w:rPr>
            <w:rFonts w:ascii="Helvetica Neue" w:cs="Helvetica Neue" w:eastAsia="Helvetica Neue" w:hAnsi="Helvetica Neue"/>
            <w:color w:val="2f6b9a"/>
            <w:u w:val="single"/>
            <w:rtl w:val="0"/>
          </w:rPr>
          <w:t xml:space="preserve">ODIR-5K manifest and experiment schema</w:t>
        </w:r>
      </w:hyperlink>
      <w:r>
        <w:rPr>
          <w:rFonts w:ascii="Helvetica Neue" w:cs="Helvetica Neue" w:eastAsia="Helvetica Neue" w:hAnsi="Helvetica Neue"/>
          <w:color w:val="233447"/>
          <w:rtl w:val="0"/>
        </w:rPr>
        <w:t xml:space="preserve"> and update it with each contract release.</w:t>
      </w:r>
      <w:r>
        <w:rPr>
          <w:rtl w:val="0"/>
        </w:rPr>
      </w:r>
    </w:p>
    <w:p w14:paraId="0000008F">
      <w:pPr>
        <w:pStyle w:val="Heading1"/>
        <w:spacing w:before="0" w:line="120" w:lineRule="auto"/>
        <w:rPr>
          <w:rFonts w:ascii="Helvetica Neue" w:cs="Helvetica Neue" w:eastAsia="Helvetica Neue" w:hAnsi="Helvetica Neue"/>
          <w:color w:val="000000"/>
        </w:rPr>
      </w:pPr>
      <w:r>
        <w:rPr>
          <w:rtl w:val="0"/>
        </w:rPr>
      </w:r>
    </w:p>
    <w:p w14:paraId="00000090">
      <w:pPr>
        <w:pStyle w:val="Heading1"/>
        <w:rPr>
          <w:rFonts w:ascii="Helvetica Neue" w:cs="Helvetica Neue" w:eastAsia="Helvetica Neue" w:hAnsi="Helvetica Neue"/>
        </w:rPr>
      </w:pPr>
      <w:r>
        <w:rPr>
          <w:rFonts w:ascii="Helvetica Neue" w:cs="Helvetica Neue" w:eastAsia="Helvetica Neue" w:hAnsi="Helvetica Neue"/>
          <w:rtl w:val="0"/>
        </w:rPr>
        <w:t xml:space="preserve">7. Consistency, Idempotency, and Replay</w:t>
      </w:r>
    </w:p>
    <w:p w14:paraId="00000091">
      <w:pPr>
        <w:spacing w:after="0" w:line="96" w:lineRule="auto"/>
        <w:rPr>
          <w:rFonts w:ascii="Helvetica Neue" w:cs="Helvetica Neue" w:eastAsia="Helvetica Neue" w:hAnsi="Helvetica Neue"/>
        </w:rPr>
      </w:pPr>
      <w:r>
        <w:rPr>
          <w:rtl w:val="0"/>
        </w:rPr>
      </w:r>
    </w:p>
    <w:p w14:paraId="00000092">
      <w:pPr>
        <w:spacing w:after="110" w:line="300" w:lineRule="auto"/>
        <w:jc w:val="both"/>
        <w:rPr>
          <w:rFonts w:ascii="Helvetica Neue" w:cs="Helvetica Neue" w:eastAsia="Helvetica Neue" w:hAnsi="Helvetica Neue"/>
        </w:rPr>
      </w:pPr>
      <w:r>
        <w:rPr>
          <w:rFonts w:ascii="Helvetica Neue" w:cs="Helvetica Neue" w:eastAsia="Helvetica Neue" w:hAnsi="Helvetica Neue"/>
          <w:color w:val="233447"/>
          <w:rtl w:val="0"/>
        </w:rPr>
        <w:t xml:space="preserve">Run eksperimen harus dapat diulang dengan seed dan konfigurasi yang sama. Hasil identik diberi run_id berbeda tetapi tetap dapat dibandingkan. Duplikasi job tidak boleh menggabungkan hasil ke laporan utama sebelum validasi konfigurasi.</w:t>
      </w:r>
      <w:r>
        <w:rPr>
          <w:rtl w:val="0"/>
        </w:rPr>
      </w:r>
    </w:p>
    <w:tbl>
      <w:tblPr>
        <w:tblStyle w:val="Table6"/>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37"/>
        <w:gridCol w:w="3722"/>
        <w:gridCol w:w="3381"/>
        <w:tblGridChange w:id="0">
          <w:tblGrid>
            <w:gridCol w:w="3337"/>
            <w:gridCol w:w="3722"/>
            <w:gridCol w:w="3381"/>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3">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Scenario</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4">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Expected behavior</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9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Reasoning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Run dengan hash konfigurasi sama dicatat sebagai pengulangan terpisah.</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Menghasilkan checkpoint dan laporan baru tanpa menimpa hasil sebelumnya.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run_id dan checkpoint hash mencegah hasil berbeda tertukar.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Jika manifest, checkpoint, atau hasil tidak dapat disimpan, run berstatus gagal.</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Kegagalan dapat diulang; tidak ada hasil parsial yang dipromosikan.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9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Status gagal dan pesan error disimpan dalam log.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Job dihentikan atau diulang sesuai tahap kegagalan.</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Tidak ada fallback ke model lain; retry menggunakan konfigurasi dan checkpoint yang sama.</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9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Log dan hash artefak memungkinkan penelusuran ulang.</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9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Perubahan konfigurasi selama run tidak diizinkan.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Konfigurasi yang disimpan bersama run_id tetap menjadi versi otoritatif.</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A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Konfigurasi dibekukan sebelum training dimulai.</w:t>
            </w:r>
            <w:r>
              <w:rPr>
                <w:rtl w:val="0"/>
              </w:rPr>
            </w:r>
          </w:p>
        </w:tc>
      </w:tr>
    </w:tbl>
    <w:p w14:paraId="000000A2">
      <w:pPr>
        <w:pStyle w:val="Heading1"/>
        <w:spacing w:before="0" w:line="269" w:lineRule="auto"/>
        <w:rPr>
          <w:rFonts w:ascii="Helvetica Neue" w:cs="Helvetica Neue" w:eastAsia="Helvetica Neue" w:hAnsi="Helvetica Neue"/>
          <w:color w:val="000000"/>
        </w:rPr>
      </w:pPr>
      <w:r>
        <w:rPr>
          <w:rtl w:val="0"/>
        </w:rPr>
      </w:r>
    </w:p>
    <w:p w14:paraId="000000A3">
      <w:pPr>
        <w:pStyle w:val="Heading1"/>
        <w:rPr>
          <w:rFonts w:ascii="Helvetica Neue" w:cs="Helvetica Neue" w:eastAsia="Helvetica Neue" w:hAnsi="Helvetica Neue"/>
        </w:rPr>
      </w:pPr>
      <w:r>
        <w:rPr>
          <w:rFonts w:ascii="Helvetica Neue" w:cs="Helvetica Neue" w:eastAsia="Helvetica Neue" w:hAnsi="Helvetica Neue"/>
          <w:rtl w:val="0"/>
        </w:rPr>
        <w:t xml:space="preserve">8. Security and Privacy Considerations</w:t>
      </w:r>
    </w:p>
    <w:p w14:paraId="000000A4">
      <w:pPr>
        <w:spacing w:after="0" w:line="96" w:lineRule="auto"/>
        <w:rPr>
          <w:rFonts w:ascii="Helvetica Neue" w:cs="Helvetica Neue" w:eastAsia="Helvetica Neue" w:hAnsi="Helvetica Neue"/>
        </w:rPr>
      </w:pPr>
      <w:r>
        <w:rPr>
          <w:rtl w:val="0"/>
        </w:rPr>
      </w:r>
    </w:p>
    <w:p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Akses ke citra dan manifest dibatasi pada peneliti/pembimbing; ID pasien dipakai untuk split dan tidak ditampilkan dalam laporan publik.</w:t>
      </w:r>
      <w:r>
        <w:rPr>
          <w:rtl w:val="0"/>
        </w:rPr>
      </w:r>
    </w:p>
    <w:p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Simpan hanya identifier dan artefak yang diperlukan; jangan menulis informasi identitas langsung ke log atau gambar Layer-CAM.</w:t>
      </w:r>
    </w:p>
    <w:p w14:paraId="000000A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Dataset dan kredensial penyimpanan tidak dimasukkan ke repository publik; konfigurasi rahasia dipisahkan dari laporan.</w:t>
      </w:r>
      <w:r>
        <w:rPr>
          <w:rtl w:val="0"/>
        </w:rPr>
      </w:r>
    </w:p>
    <w:p w14:paraId="000000A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Mode default adalah offline dan read-only terhadap dataset; debugging menggunakan salinan terkontrol.</w:t>
      </w:r>
      <w:r>
        <w:rPr>
          <w:rtl w:val="0"/>
        </w:rPr>
      </w:r>
    </w:p>
    <w:p w14:paraId="000000A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Pertahankan manifest, split, konfigurasi, checkpoint, dan log sesuai kebutuhan audit penelitian; hapus salinan yang tidak diperlukan.</w:t>
      </w:r>
      <w:r>
        <w:rPr>
          <w:rtl w:val="0"/>
        </w:rPr>
      </w:r>
    </w:p>
    <w:p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192" w:lineRule="auto"/>
        <w:ind w:left="0" w:right="0" w:firstLine="0"/>
        <w:jc w:val="both"/>
        <w:rPr>
          <w:rFonts w:ascii="Helvetica Neue" w:cs="Helvetica Neue" w:eastAsia="Helvetica Neue" w:hAnsi="Helvetica Neue"/>
          <w:i w:val="0"/>
          <w:iCs w:val="0"/>
          <w:smallCaps w:val="0"/>
          <w:strike w:val="0"/>
          <w:color w:val="1e252e"/>
          <w:sz w:val="20"/>
          <w:szCs w:val="20"/>
          <w:u w:val="none"/>
          <w:shd w:fill="auto" w:val="clear"/>
          <w:vertAlign w:val="baseline"/>
        </w:rPr>
      </w:pPr>
      <w:r>
        <w:rPr>
          <w:rtl w:val="0"/>
        </w:rPr>
      </w:r>
    </w:p>
    <w:p w14:paraId="000000AC">
      <w:pPr>
        <w:pStyle w:val="Heading1"/>
        <w:rPr>
          <w:rFonts w:ascii="Helvetica Neue" w:cs="Helvetica Neue" w:eastAsia="Helvetica Neue" w:hAnsi="Helvetica Neue"/>
        </w:rPr>
      </w:pPr>
      <w:r>
        <w:rPr>
          <w:rFonts w:ascii="Helvetica Neue" w:cs="Helvetica Neue" w:eastAsia="Helvetica Neue" w:hAnsi="Helvetica Neue"/>
          <w:rtl w:val="0"/>
        </w:rPr>
        <w:t xml:space="preserve">9.  Operational Readiness</w:t>
      </w:r>
    </w:p>
    <w:tbl>
      <w:tblPr>
        <w:tblStyle w:val="Table7"/>
        <w:tblW w:w="10440.0" w:type="dxa"/>
        <w:jc w:val="center"/>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400"/>
      </w:tblPr>
      <w:tblGrid>
        <w:gridCol w:w="2268"/>
        <w:gridCol w:w="3521"/>
        <w:gridCol w:w="2306"/>
        <w:gridCol w:w="2345"/>
        <w:tblGridChange w:id="0">
          <w:tblGrid>
            <w:gridCol w:w="2268"/>
            <w:gridCol w:w="3521"/>
            <w:gridCol w:w="2306"/>
            <w:gridCol w:w="2345"/>
          </w:tblGrid>
        </w:tblGridChange>
      </w:tblGrid>
      <w:tr>
        <w:trPr>
          <w:cantSplit w:val="1"/>
          <w:tblHeader w:val="1"/>
        </w:trPr>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Signal</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SLO or alert</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A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Owner</w:t>
            </w:r>
            <w:r>
              <w:rPr>
                <w:rtl w:val="0"/>
              </w:rPr>
            </w:r>
          </w:p>
        </w:tc>
        <w:tc>
          <w:tcPr>
            <w:tcBorders>
              <w:top w:color="ffffff" w:space="0" w:sz="8" w:val="single"/>
              <w:left w:color="ffffff" w:space="0" w:sz="8" w:val="single"/>
              <w:bottom w:color="ffffff" w:space="0" w:sz="8" w:val="single"/>
              <w:right w:color="ffffff" w:space="0" w:sz="8" w:val="single"/>
            </w:tcBorders>
            <w:shd w:fill="082a4a" w:val="clear"/>
            <w:tcMar>
              <w:top w:w="110.0" w:type="dxa"/>
              <w:left w:w="120.0" w:type="dxa"/>
              <w:bottom w:w="110.0" w:type="dxa"/>
              <w:right w:w="120.0" w:type="dxa"/>
            </w:tcMar>
            <w:vAlign w:val="center"/>
          </w:tcPr>
          <w:p w14:paraId="000000B0">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sz w:val="16"/>
                <w:szCs w:val="16"/>
                <w:rtl w:val="0"/>
              </w:rPr>
              <w:t xml:space="preserve">Launch gate</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Run completion</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100% tahap utama selesai tanpa input invalid</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Training/evaluation duration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Catat durasi per run; alarm bila menyimpang dari baseline</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8">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Failed run rate</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Tidak ada hasil dipromosikan dari run gagal</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BC">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B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Configuration drift</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Hash konfigurasi/checkpoint berbeda dari run yang direferensikan</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BF">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tl w:val="0"/>
              </w:rPr>
            </w:r>
          </w:p>
        </w:tc>
        <w:tc>
          <w:tcPr>
            <w:tcBorders>
              <w:top w:color="ffffff" w:space="0" w:sz="8" w:val="single"/>
              <w:left w:color="ffffff" w:space="0" w:sz="8" w:val="single"/>
              <w:bottom w:color="ffffff" w:space="0" w:sz="8" w:val="single"/>
              <w:right w:color="ffffff" w:space="0" w:sz="8" w:val="single"/>
            </w:tcBorders>
            <w:shd w:fill="f6f9fc" w:val="clear"/>
            <w:tcMar>
              <w:top w:w="110.0" w:type="dxa"/>
              <w:left w:w="120.0" w:type="dxa"/>
              <w:bottom w:w="110.0" w:type="dxa"/>
              <w:right w:w="120.0" w:type="dxa"/>
            </w:tcMar>
            <w:vAlign w:val="center"/>
          </w:tcPr>
          <w:p w14:paraId="000000C0">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tcBorders>
              <w:top w:color="ffffff" w:space="0" w:sz="8" w:val="single"/>
              <w:left w:color="ffffff" w:space="0" w:sz="8" w:val="single"/>
              <w:bottom w:color="ffffff" w:space="0" w:sz="8" w:val="single"/>
              <w:right w:color="ffffff" w:space="0" w:sz="8" w:val="single"/>
            </w:tcBorders>
            <w:shd w:fill="e6f0f8" w:val="clear"/>
            <w:tcMar>
              <w:top w:w="110.0" w:type="dxa"/>
              <w:left w:w="120.0" w:type="dxa"/>
              <w:bottom w:w="110.0" w:type="dxa"/>
              <w:right w:w="120.0" w:type="dxa"/>
            </w:tcMar>
            <w:vAlign w:val="center"/>
          </w:tcPr>
          <w:p w14:paraId="000000C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Reproducibility check</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2">
            <w:pPr>
              <w:spacing w:after="25" w:before="20" w:line="285" w:lineRule="auto"/>
              <w:rPr>
                <w:rFonts w:ascii="Helvetica Neue" w:cs="Helvetica Neue" w:eastAsia="Helvetica Neue" w:hAnsi="Helvetica Neue"/>
              </w:rPr>
            </w:pPr>
            <w:r>
              <w:t>Ulangi seluruh loss pada seed yang ditetapkan</w:t>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Peneliti</w:t>
            </w:r>
            <w:r>
              <w:rPr>
                <w:rtl w:val="0"/>
              </w:rPr>
            </w:r>
          </w:p>
        </w:tc>
        <w:tc>
          <w:tcPr>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4">
            <w:pPr>
              <w:spacing w:after="25" w:before="20" w:line="285" w:lineRule="auto"/>
              <w:rPr>
                <w:rFonts w:ascii="Helvetica Neue" w:cs="Helvetica Neue" w:eastAsia="Helvetica Neue" w:hAnsi="Helvetica Neue"/>
                <w:sz w:val="16"/>
                <w:szCs w:val="16"/>
              </w:rPr>
            </w:pPr>
            <w:r>
              <w:rPr>
                <w:rFonts w:ascii="Helvetica Neue" w:cs="Helvetica Neue" w:eastAsia="Helvetica Neue" w:hAnsi="Helvetica Neue"/>
                <w:color w:val="233447"/>
                <w:sz w:val="16"/>
                <w:szCs w:val="16"/>
                <w:rtl w:val="0"/>
              </w:rPr>
              <w:t xml:space="preserve">Required</w:t>
            </w:r>
            <w:r>
              <w:rPr>
                <w:rtl w:val="0"/>
              </w:rPr>
            </w:r>
          </w:p>
        </w:tc>
      </w:tr>
      <w:tr>
        <w:trPr>
          <w:cantSplit w:val="1"/>
          <w:tblHeader w:val="0"/>
        </w:trPr>
        <w:tc>
          <w:tcPr>
            <w:gridSpan w:val="4"/>
            <w:tcBorders>
              <w:top w:color="ffffff" w:space="0" w:sz="8" w:val="single"/>
              <w:left w:color="ffffff" w:space="0" w:sz="8" w:val="single"/>
              <w:bottom w:color="ffffff" w:space="0" w:sz="8" w:val="single"/>
              <w:right w:color="ffffff" w:space="0" w:sz="8" w:val="single"/>
            </w:tcBorders>
            <w:shd w:fill="ffffff" w:val="clear"/>
            <w:tcMar>
              <w:top w:w="110.0" w:type="dxa"/>
              <w:left w:w="120.0" w:type="dxa"/>
              <w:bottom w:w="110.0" w:type="dxa"/>
              <w:right w:w="120.0" w:type="dxa"/>
            </w:tcMar>
            <w:vAlign w:val="center"/>
          </w:tcPr>
          <w:p w14:paraId="000000C5">
            <w:pPr>
              <w:spacing w:after="25" w:before="20" w:line="285" w:lineRule="auto"/>
              <w:rPr>
                <w:rFonts w:ascii="Helvetica Neue" w:cs="Helvetica Neue" w:eastAsia="Helvetica Neue" w:hAnsi="Helvetica Neue"/>
              </w:rPr>
            </w:pPr>
            <w:r>
              <w:t>Rollout constraint: tidak ada deployment produksi. Promosi hasil hanya setelah validasi split pasien, konfigurasi, metrik, dan review Layer-CAM selesai.</w:t>
            </w:r>
          </w:p>
        </w:tc>
      </w:tr>
    </w:tbl>
    <w:p w14:paraId="000000C9">
      <w:pPr>
        <w:pStyle w:val="Heading1"/>
        <w:spacing w:before="0" w:lineRule="auto"/>
        <w:rPr>
          <w:rFonts w:ascii="Helvetica Neue" w:cs="Helvetica Neue" w:eastAsia="Helvetica Neue" w:hAnsi="Helvetica Neue"/>
          <w:color w:val="000000"/>
        </w:rPr>
      </w:pPr>
      <w:r>
        <w:rPr>
          <w:rtl w:val="0"/>
        </w:rPr>
      </w:r>
    </w:p>
    <w:p w14:paraId="000000CA">
      <w:pPr>
        <w:pStyle w:val="Heading1"/>
        <w:rPr>
          <w:rFonts w:ascii="Helvetica Neue" w:cs="Helvetica Neue" w:eastAsia="Helvetica Neue" w:hAnsi="Helvetica Neue"/>
        </w:rPr>
      </w:pPr>
      <w:r>
        <w:rPr>
          <w:rFonts w:ascii="Helvetica Neue" w:cs="Helvetica Neue" w:eastAsia="Helvetica Neue" w:hAnsi="Helvetica Neue"/>
          <w:rtl w:val="0"/>
        </w:rPr>
        <w:t xml:space="preserve">10. Alternatives Considered</w:t>
      </w:r>
    </w:p>
    <w:p w14:paraId="000000CB">
      <w:pPr>
        <w:spacing w:after="0" w:line="14.399999999999999" w:lineRule="auto"/>
        <w:rPr>
          <w:rFonts w:ascii="Helvetica Neue" w:cs="Helvetica Neue" w:eastAsia="Helvetica Neue" w:hAnsi="Helvetica Neue"/>
        </w:rPr>
      </w:pPr>
      <w:r>
        <w:rPr>
          <w:rtl w:val="0"/>
        </w:rPr>
      </w:r>
    </w:p>
    <w:p w14:paraId="000000CC">
      <w:pPr>
        <w:spacing w:after="0" w:line="192" w:lineRule="auto"/>
        <w:rPr>
          <w:rFonts w:ascii="Helvetica Neue" w:cs="Helvetica Neue" w:eastAsia="Helvetica Neue" w:hAnsi="Helvetica Neue"/>
        </w:rPr>
      </w:pPr>
      <w:r>
        <w:rPr>
          <w:rtl w:val="0"/>
        </w:rPr>
      </w:r>
    </w:p>
    <w:tbl>
      <w:tblPr>
        <w:tblStyle w:val="Table8"/>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3303"/>
        <w:gridCol w:w="3313"/>
        <w:gridCol w:w="3824"/>
        <w:tblGridChange w:id="0">
          <w:tblGrid>
            <w:gridCol w:w="3303"/>
            <w:gridCol w:w="3313"/>
            <w:gridCol w:w="3824"/>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D">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Alternative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E">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considered</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CF">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Why it was not selected</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0">
            <w:pPr>
              <w:spacing w:after="25" w:before="20" w:line="285" w:lineRule="auto"/>
              <w:rPr>
                <w:rFonts w:ascii="Helvetica Neue" w:cs="Helvetica Neue" w:eastAsia="Helvetica Neue" w:hAnsi="Helvetica Neue"/>
              </w:rPr>
            </w:pPr>
            <w:r>
              <w:t>BCE</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Sederhana, stabil, dan menjadi baseline umum.</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2">
            <w:pPr>
              <w:spacing w:after="25" w:before="20" w:line="285" w:lineRule="auto"/>
              <w:rPr>
                <w:rFonts w:ascii="Helvetica Neue" w:cs="Helvetica Neue" w:eastAsia="Helvetica Neue" w:hAnsi="Helvetica Neue"/>
              </w:rPr>
            </w:pPr>
            <w:r>
              <w:t>Menjadi baseline standar, tetapi tidak cukup untuk menentukan loss terbaik tanpa pembanding.</w:t>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Weighted BCE</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4">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Mudah diterapkan dengan bobot berdasarkan frekuensi kelas.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5">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Hasil sensitif terhadap cara memilih bobot dan belum memisahkan positive-negative imbalance seperti ASL.</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6">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Hybrid BCE-Focal</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7">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Dapat mengurangi pengaruh contoh mudah dan telah digunakan dalam studi fundus.</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D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Menambah pembanding tetapi dapat memperlebar scope dan membuat kontribusi loss lebih sulit dibaca.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D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Arsitektur Transformer/multi-task</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Berpotensi menangkap hubungan global atau informasi pembuluh.</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D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Kompleksitas dan banyak komponen mengurangi kemampuan mengisolasi pengaruh fungsi loss.</w:t>
            </w:r>
            <w:r>
              <w:rPr>
                <w:rtl w:val="0"/>
              </w:rPr>
            </w:r>
          </w:p>
        </w:tc>
      </w:tr>
      <w:tr>
        <w:tc>
          <w:tcPr>
            <w:tcW w:type="dxa" w:w="3303"/>
            <w:vAlign w:val="center"/>
          </w:tcPr>
          <w:p>
            <w:r>
              <w:rPr>
                <w:b w:val="0"/>
                <w:sz w:val="17"/>
              </w:rPr>
              <w:t>PolyLoss</w:t>
            </w:r>
          </w:p>
        </w:tc>
        <w:tc>
          <w:tcPr>
            <w:tcW w:type="dxa" w:w="3313"/>
            <w:vAlign w:val="center"/>
          </w:tcPr>
          <w:p>
            <w:r>
              <w:rPr>
                <w:b w:val="0"/>
                <w:sz w:val="17"/>
              </w:rPr>
              <w:t>Memberi modifikasi fleksibel pada loss klasifikasi dan telah kompetitif pada studi retinal multi-label.</w:t>
            </w:r>
          </w:p>
        </w:tc>
        <w:tc>
          <w:tcPr>
            <w:tcW w:type="dxa" w:w="3824"/>
            <w:vAlign w:val="center"/>
          </w:tcPr>
          <w:p>
            <w:r>
              <w:rPr>
                <w:b w:val="0"/>
                <w:sz w:val="17"/>
              </w:rPr>
              <w:t>Memerlukan parameter epsilon dari validation set; tidak diasumsikan lebih unggul sebelum eksperimen.</w:t>
            </w:r>
          </w:p>
        </w:tc>
      </w:tr>
    </w:tbl>
    <w:p w14:paraId="000000DC">
      <w:pPr>
        <w:pStyle w:val="Heading1"/>
        <w:spacing w:before="0" w:line="269" w:lineRule="auto"/>
        <w:rPr>
          <w:rFonts w:ascii="Helvetica Neue" w:cs="Helvetica Neue" w:eastAsia="Helvetica Neue" w:hAnsi="Helvetica Neue"/>
          <w:color w:val="000000"/>
        </w:rPr>
      </w:pPr>
      <w:r>
        <w:rPr>
          <w:rtl w:val="0"/>
        </w:rPr>
      </w:r>
    </w:p>
    <w:p w14:paraId="000000DD">
      <w:pPr>
        <w:pStyle w:val="Heading1"/>
        <w:rPr>
          <w:rFonts w:ascii="Helvetica Neue" w:cs="Helvetica Neue" w:eastAsia="Helvetica Neue" w:hAnsi="Helvetica Neue"/>
        </w:rPr>
      </w:pPr>
      <w:r>
        <w:rPr>
          <w:rFonts w:ascii="Helvetica Neue" w:cs="Helvetica Neue" w:eastAsia="Helvetica Neue" w:hAnsi="Helvetica Neue"/>
          <w:rtl w:val="0"/>
        </w:rPr>
        <w:t xml:space="preserve">11. Open Questions</w:t>
      </w:r>
    </w:p>
    <w:p w14:paraId="000000D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Apakah backbone final telah ditetapkan sebagai ResNet50 pretrained ImageNet dengan shared-weight untuk pasangan mata kiri dan kanan.</w:t>
      </w:r>
      <w:r>
        <w:rPr>
          <w:rtl w:val="0"/>
        </w:rPr>
      </w:r>
    </w:p>
    <w:p w14:paraId="000000D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Bagaimana hasil tiap loss berubah setelah parameter loss dan threshold dipilih dari validation set tanpa memakai data test?</w:t>
      </w:r>
    </w:p>
    <w:p w14:paraId="000000E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rPr>
          <w:rFonts w:ascii="Helvetica Neue" w:cs="Helvetica Neue" w:eastAsia="Helvetica Neue" w:hAnsi="Helvetica Neue"/>
          <w:i w:val="0"/>
          <w:iCs w:val="0"/>
          <w:smallCaps w:val="0"/>
          <w:strike w:val="0"/>
          <w:color w:val="233447"/>
          <w:sz w:val="20"/>
          <w:szCs w:val="20"/>
          <w:u w:val="none"/>
          <w:shd w:fill="auto" w:val="clear"/>
          <w:vertAlign w:val="baseline"/>
          <w:rtl w:val="0"/>
        </w:rPr>
        <w:t xml:space="preserve">Apakah perlu external validation dengan RFMiD setelah eksperimen ODIR-5K selesai?</w:t>
      </w:r>
      <w:r>
        <w:rPr>
          <w:rtl w:val="0"/>
        </w:rPr>
      </w:r>
    </w:p>
    <w:p w14:paraId="000000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5" w:before="0" w:line="290" w:lineRule="auto"/>
        <w:ind w:left="360" w:right="0" w:hanging="360"/>
        <w:jc w:val="both"/>
        <w:rPr>
          <w:rFonts w:ascii="Helvetica Neue" w:cs="Helvetica Neue" w:eastAsia="Helvetica Neue" w:hAnsi="Helvetica Neue"/>
        </w:rPr>
      </w:pPr>
      <w:r>
        <w:t>Bagaimana sampel Layer-CAM dipilih secara konsisten, dan siapa yang melakukan review klinis bila review ahli tersedia?</w:t>
      </w:r>
    </w:p>
    <w:p w14:paraId="000000E2">
      <w:pPr>
        <w:pStyle w:val="Heading1"/>
        <w:spacing w:before="0" w:lineRule="auto"/>
        <w:rPr>
          <w:rFonts w:ascii="Helvetica Neue" w:cs="Helvetica Neue" w:eastAsia="Helvetica Neue" w:hAnsi="Helvetica Neue"/>
          <w:color w:val="000000"/>
        </w:rPr>
      </w:pPr>
      <w:r>
        <w:rPr>
          <w:rtl w:val="0"/>
        </w:rPr>
      </w:r>
    </w:p>
    <w:p w14:paraId="000000E3">
      <w:pPr>
        <w:pStyle w:val="Heading1"/>
        <w:rPr>
          <w:rFonts w:ascii="Helvetica Neue" w:cs="Helvetica Neue" w:eastAsia="Helvetica Neue" w:hAnsi="Helvetica Neue"/>
        </w:rPr>
      </w:pPr>
      <w:r>
        <w:rPr>
          <w:rFonts w:ascii="Helvetica Neue" w:cs="Helvetica Neue" w:eastAsia="Helvetica Neue" w:hAnsi="Helvetica Neue"/>
          <w:rtl w:val="0"/>
        </w:rPr>
        <w:t xml:space="preserve">12. Decision and Next Steps</w:t>
      </w:r>
    </w:p>
    <w:p w14:paraId="000000E4">
      <w:pPr>
        <w:spacing w:after="110" w:line="300" w:lineRule="auto"/>
        <w:jc w:val="both"/>
        <w:rPr>
          <w:rFonts w:ascii="Helvetica Neue" w:cs="Helvetica Neue" w:eastAsia="Helvetica Neue" w:hAnsi="Helvetica Neue"/>
        </w:rPr>
      </w:pPr>
      <w:r>
        <w:t>Keputusan yang ditetapkan adalah membandingkan BCE, Weighted BCE, Focal Loss, ASL, dan PolyLoss menggunakan shared ResNet50 pretrained ImageNet, split pasien 70/15/15, preprocessing, optimizer, dan epoch yang sama. Milestone pertama adalah pipeline data dan baseline BCE yang dapat direproduksi; tahap berikutnya adalah empat loss pembanding, evaluasi per kelas, dan Layer-CAM. Tidak ada rollout produksi sebelum validasi metodologi dan persetujuan pembimbing.</w:t>
      </w:r>
    </w:p>
    <w:tbl>
      <w:tblPr>
        <w:tblStyle w:val="Table9"/>
        <w:tblW w:w="10440.0" w:type="dxa"/>
        <w:jc w:val="center"/>
        <w:tblBorders>
          <w:top w:color="ffffff" w:space="0" w:sz="4" w:val="single"/>
          <w:left w:color="ffffff" w:space="0" w:sz="4" w:val="single"/>
          <w:bottom w:color="ffffff" w:space="0" w:sz="4" w:val="single"/>
          <w:right w:color="ffffff" w:space="0" w:sz="4" w:val="single"/>
          <w:insideH w:color="ffffff" w:space="0" w:sz="4" w:val="single"/>
          <w:insideV w:color="ffffff" w:space="0" w:sz="4" w:val="single"/>
        </w:tblBorders>
        <w:tblLayout w:type="fixed"/>
        <w:tblLook w:val="0400"/>
      </w:tblPr>
      <w:tblGrid>
        <w:gridCol w:w="2954"/>
        <w:gridCol w:w="3713"/>
        <w:gridCol w:w="3773"/>
        <w:tblGridChange w:id="0">
          <w:tblGrid>
            <w:gridCol w:w="2954"/>
            <w:gridCol w:w="3713"/>
            <w:gridCol w:w="3773"/>
          </w:tblGrid>
        </w:tblGridChange>
      </w:tblGrid>
      <w:tr>
        <w:trPr>
          <w:cantSplit w:val="1"/>
          <w:tblHeader w:val="1"/>
        </w:trPr>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5">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Milestone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6">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Deliverable</w:t>
            </w:r>
            <w:r>
              <w:rPr>
                <w:rtl w:val="0"/>
              </w:rPr>
            </w:r>
          </w:p>
        </w:tc>
        <w:tc>
          <w:tcPr>
            <w:tcBorders>
              <w:top w:color="ffffff" w:space="0" w:sz="6" w:val="single"/>
              <w:left w:color="ffffff" w:space="0" w:sz="6" w:val="single"/>
              <w:bottom w:color="ffffff" w:space="0" w:sz="6" w:val="single"/>
              <w:right w:color="ffffff" w:space="0" w:sz="6" w:val="single"/>
            </w:tcBorders>
            <w:shd w:fill="082a4a" w:val="clear"/>
            <w:tcMar>
              <w:top w:w="110.0" w:type="dxa"/>
              <w:left w:w="120.0" w:type="dxa"/>
              <w:bottom w:w="110.0" w:type="dxa"/>
              <w:right w:w="120.0" w:type="dxa"/>
            </w:tcMar>
            <w:vAlign w:val="center"/>
          </w:tcPr>
          <w:p w14:paraId="000000E7">
            <w:pPr>
              <w:spacing w:after="0" w:before="20" w:line="265" w:lineRule="auto"/>
              <w:rPr>
                <w:rFonts w:ascii="Helvetica Neue" w:cs="Helvetica Neue" w:eastAsia="Helvetica Neue" w:hAnsi="Helvetica Neue"/>
              </w:rPr>
            </w:pPr>
            <w:r>
              <w:rPr>
                <w:rFonts w:ascii="Helvetica Neue" w:cs="Helvetica Neue" w:eastAsia="Helvetica Neue" w:hAnsi="Helvetica Neue"/>
                <w:b w:val="1"/>
                <w:bCs w:val="1"/>
                <w:color w:val="ffffff"/>
                <w:rtl w:val="0"/>
              </w:rPr>
              <w:t xml:space="preserve">Exit criteria</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8">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M1</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9">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Pipeline ODIR-5K + baseline BCE</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A">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Split pasien tervalidasi; training, evaluasi, dan log selesai tanpa error.</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B">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M2</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C">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Eksperimen ASL + laporan per kelas</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ED">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Run dapat diulang dengan seed dan konfigurasi sama; hasil dan checkpoint tercatat.</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EE">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M3</w:t>
            </w:r>
            <w:r>
              <w:rPr>
                <w:rtl w:val="0"/>
              </w:rPr>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EF">
            <w:pPr>
              <w:spacing w:after="25" w:before="20" w:line="285" w:lineRule="auto"/>
              <w:rPr>
                <w:rFonts w:ascii="Helvetica Neue" w:cs="Helvetica Neue" w:eastAsia="Helvetica Neue" w:hAnsi="Helvetica Neue"/>
              </w:rPr>
            </w:pPr>
            <w:r>
              <w:t>Analisis Layer-CAM pada sampel representatif</w:t>
            </w:r>
          </w:p>
        </w:tc>
        <w:tc>
          <w:tcPr>
            <w:tcBorders>
              <w:top w:color="ffffff" w:space="0" w:sz="6" w:val="single"/>
              <w:left w:color="ffffff" w:space="0" w:sz="6" w:val="single"/>
              <w:bottom w:color="ffffff" w:space="0" w:sz="6" w:val="single"/>
              <w:right w:color="ffffff" w:space="0" w:sz="6" w:val="single"/>
            </w:tcBorders>
            <w:shd w:fill="ffffff" w:val="clear"/>
            <w:tcMar>
              <w:top w:w="110.0" w:type="dxa"/>
              <w:left w:w="120.0" w:type="dxa"/>
              <w:bottom w:w="110.0" w:type="dxa"/>
              <w:right w:w="120.0" w:type="dxa"/>
            </w:tcMar>
            <w:vAlign w:val="center"/>
          </w:tcPr>
          <w:p w14:paraId="000000F0">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Review visual selesai; tidak ada klaim klinis tanpa validasi ahli.</w:t>
            </w:r>
            <w:r>
              <w:rPr>
                <w:rtl w:val="0"/>
              </w:rPr>
            </w:r>
          </w:p>
        </w:tc>
      </w:tr>
      <w:tr>
        <w:trPr>
          <w:cantSplit w:val="1"/>
          <w:tblHeader w:val="0"/>
        </w:trPr>
        <w:tc>
          <w:tcPr>
            <w:tcBorders>
              <w:top w:color="ffffff" w:space="0" w:sz="6" w:val="single"/>
              <w:left w:color="ffffff" w:space="0" w:sz="6" w:val="single"/>
              <w:bottom w:color="ffffff" w:space="0" w:sz="6" w:val="single"/>
              <w:right w:color="ffffff" w:space="0" w:sz="6" w:val="single"/>
            </w:tcBorders>
            <w:shd w:fill="e6f0f8" w:val="clear"/>
            <w:tcMar>
              <w:top w:w="110.0" w:type="dxa"/>
              <w:left w:w="120.0" w:type="dxa"/>
              <w:bottom w:w="110.0" w:type="dxa"/>
              <w:right w:w="120.0" w:type="dxa"/>
            </w:tcMar>
            <w:vAlign w:val="center"/>
          </w:tcPr>
          <w:p w14:paraId="000000F1">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M4</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2">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Penyusunan proposal dan pembahasan</w:t>
            </w:r>
            <w:r>
              <w:rPr>
                <w:rtl w:val="0"/>
              </w:rPr>
            </w:r>
          </w:p>
        </w:tc>
        <w:tc>
          <w:tcPr>
            <w:tcBorders>
              <w:top w:color="ffffff" w:space="0" w:sz="6" w:val="single"/>
              <w:left w:color="ffffff" w:space="0" w:sz="6" w:val="single"/>
              <w:bottom w:color="ffffff" w:space="0" w:sz="6" w:val="single"/>
              <w:right w:color="ffffff" w:space="0" w:sz="6" w:val="single"/>
            </w:tcBorders>
            <w:shd w:fill="f6f9fc" w:val="clear"/>
            <w:tcMar>
              <w:top w:w="110.0" w:type="dxa"/>
              <w:left w:w="120.0" w:type="dxa"/>
              <w:bottom w:w="110.0" w:type="dxa"/>
              <w:right w:w="120.0" w:type="dxa"/>
            </w:tcMar>
            <w:vAlign w:val="center"/>
          </w:tcPr>
          <w:p w14:paraId="000000F3">
            <w:pPr>
              <w:spacing w:after="25" w:before="20" w:line="285" w:lineRule="auto"/>
              <w:rPr>
                <w:rFonts w:ascii="Helvetica Neue" w:cs="Helvetica Neue" w:eastAsia="Helvetica Neue" w:hAnsi="Helvetica Neue"/>
              </w:rPr>
            </w:pPr>
            <w:r>
              <w:rPr>
                <w:rFonts w:ascii="Helvetica Neue" w:cs="Helvetica Neue" w:eastAsia="Helvetica Neue" w:hAnsi="Helvetica Neue"/>
                <w:color w:val="233447"/>
                <w:rtl w:val="0"/>
              </w:rPr>
              <w:t xml:space="preserve">Metrik, keterbatasan, dan keputusan pembimbing terdokumentasi.</w:t>
            </w:r>
            <w:r>
              <w:rPr>
                <w:rtl w:val="0"/>
              </w:rPr>
            </w:r>
          </w:p>
        </w:tc>
      </w:tr>
    </w:tbl>
    <w:p w14:paraId="000000F4">
      <w:pPr>
        <w:spacing w:after="120" w:line="269" w:lineRule="auto"/>
        <w:rPr>
          <w:rFonts w:ascii="Helvetica Neue" w:cs="Helvetica Neue" w:eastAsia="Helvetica Neue" w:hAnsi="Helvetica Neue"/>
        </w:rPr>
      </w:pPr>
      <w:r>
        <w:rPr>
          <w:rtl w:val="0"/>
        </w:rPr>
      </w:r>
    </w:p>
    <w:sectPr>
      <w:headerReference r:id="rId10" w:type="default"/>
      <w:headerReference r:id="rId11" w:type="first"/>
      <w:footerReference r:id="rId12" w:type="default"/>
      <w:footerReference r:id="rId13" w:type="first"/>
      <w:pgSz w:h="15840" w:w="12240" w:orient="portrait"/>
      <w:pgMar w:bottom="893" w:top="1008" w:left="1008" w:right="1008"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Helvetica Neue Ligh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7">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60" w:lineRule="auto"/>
      <w:ind w:left="0" w:right="0" w:firstLine="0"/>
      <w:jc w:val="center"/>
      <w:rPr>
        <w:rFonts w:ascii="Arial" w:cs="Arial" w:eastAsia="Arial" w:hAnsi="Arial"/>
        <w:b w:val="0"/>
        <w:bCs w:val="0"/>
        <w:i w:val="0"/>
        <w:iCs w:val="0"/>
        <w:smallCaps w:val="0"/>
        <w:strike w:val="0"/>
        <w:color w:val="5b7085"/>
        <w:sz w:val="20"/>
        <w:szCs w:val="20"/>
        <w:u w:val="none"/>
        <w:shd w:fill="auto" w:val="clear"/>
        <w:vertAlign w:val="baseline"/>
      </w:rPr>
    </w:pPr>
    <w:r>
      <w:rPr>
        <w:rFonts w:ascii="Arial" w:cs="Arial" w:eastAsia="Arial" w:hAnsi="Arial"/>
        <w:b w:val="0"/>
        <w:bCs w:val="0"/>
        <w:i w:val="0"/>
        <w:iCs w:val="0"/>
        <w:smallCaps w:val="0"/>
        <w:strike w:val="0"/>
        <w:color w:val="5b7085"/>
        <w:sz w:val="16"/>
        <w:szCs w:val="16"/>
        <w:u w:val="none"/>
        <w:shd w:fill="auto" w:val="clear"/>
        <w:vertAlign w:val="baseline"/>
        <w:rtl w:val="0"/>
      </w:rPr>
      <w:t xml:space="preserve">Intelligent Fundus Screening | System Design RFC</w:t>
    </w:r>
    <w:r>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9">
    <w:pPr>
      <w:rPr/>
    </w:pPr>
    <w:r>
      <w:rPr>
        <w:rtl w:val="0"/>
      </w:rPr>
    </w:r>
  </w:p>
</w:ftr>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14:paraId="000000F5">
      <w:pPr>
        <w:spacing w:after="0" w:line="270" w:lineRule="auto"/>
        <w:jc w:val="both"/>
        <w:rPr/>
      </w:pPr>
      <w:r>
        <w:rPr>
          <w:rStyle w:val="FootnoteReference"/>
          <w:vertAlign w:val="superscript"/>
        </w:rPr>
        <w:footnoteRef/>
      </w:r>
      <w:r>
        <w:rPr>
          <w:color w:val="233447"/>
          <w:rtl w:val="0"/>
        </w:rPr>
        <w:t xml:space="preserve"> Use footnotes for definitions, assumptions, or terms that need precision without interrupting the main narrative.</w:t>
      </w:r>
      <w:r>
        <w:rPr>
          <w:rtl w:val="0"/>
        </w:rPr>
      </w:r>
    </w:p>
  </w:footnote>
</w:footnote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6">
    <w:pPr>
      <w:rPr/>
    </w:pPr>
    <w:r>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14:paraId="000000F8">
    <w:pPr>
      <w:rPr/>
    </w:pPr>
    <w:r>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3">
    <w:lvl w:ilvl="0">
      <w:start w:val="1"/>
      <w:numFmt w:val="lowerLetter"/>
      <w:lvlText w:val="%1."/>
      <w:lvlJc w:val="left"/>
      <w:pPr>
        <w:ind w:left="360" w:hanging="360"/>
      </w:pPr>
      <w:rPr/>
    </w:lvl>
    <w:lvl w:ilvl="1">
      <w:start w:val="1"/>
      <w:numFmt w:val="lowerLetter"/>
      <w:lvlText w:val="%2)"/>
      <w:lvlJc w:val="left"/>
      <w:pPr>
        <w:ind w:left="720" w:hanging="360"/>
      </w:pPr>
      <w:rPr/>
    </w:lvl>
    <w:lvl w:ilvl="2">
      <w:start w:val="1"/>
      <w:numFmt w:val="lowerRoman"/>
      <w:lvlText w:val="%3)"/>
      <w:lvlJc w:val="left"/>
      <w:pPr>
        <w:ind w:left="1080" w:hanging="360"/>
      </w:pPr>
      <w:rPr/>
    </w:lvl>
    <w:lvl w:ilvl="3">
      <w:start w:val="1"/>
      <w:numFmt w:val="decimal"/>
      <w:lvlText w:val="(%4)"/>
      <w:lvlJc w:val="left"/>
      <w:pPr>
        <w:ind w:left="1440" w:hanging="360"/>
      </w:pPr>
      <w:rPr/>
    </w:lvl>
    <w:lvl w:ilvl="4">
      <w:start w:val="1"/>
      <w:numFmt w:val="lowerLetter"/>
      <w:lvlText w:val="(%5)"/>
      <w:lvlJc w:val="left"/>
      <w:pPr>
        <w:ind w:left="1800" w:hanging="360"/>
      </w:pPr>
      <w:rPr/>
    </w:lvl>
    <w:lvl w:ilvl="5">
      <w:start w:val="1"/>
      <w:numFmt w:val="lowerRoman"/>
      <w:lvlText w:val="(%6)"/>
      <w:lvlJc w:val="left"/>
      <w:pPr>
        <w:ind w:left="2160" w:hanging="360"/>
      </w:pPr>
      <w:rPr/>
    </w:lvl>
    <w:lvl w:ilvl="6">
      <w:start w:val="1"/>
      <w:numFmt w:val="decimal"/>
      <w:lvlText w:val="%7."/>
      <w:lvlJc w:val="left"/>
      <w:pPr>
        <w:ind w:left="2520" w:hanging="360"/>
      </w:pPr>
      <w:rPr/>
    </w:lvl>
    <w:lvl w:ilvl="7">
      <w:start w:val="1"/>
      <w:numFmt w:val="lowerLetter"/>
      <w:lvlText w:val="%8."/>
      <w:lvlJc w:val="left"/>
      <w:pPr>
        <w:ind w:left="2880" w:hanging="360"/>
      </w:pPr>
      <w:rPr/>
    </w:lvl>
    <w:lvl w:ilvl="8">
      <w:start w:val="1"/>
      <w:numFmt w:val="lowerRoman"/>
      <w:lvlText w:val="%9."/>
      <w:lvlJc w:val="left"/>
      <w:pPr>
        <w:ind w:left="3240" w:hanging="360"/>
      </w:pPr>
      <w:rPr/>
    </w:lvl>
  </w:abstractNum>
  <w:abstractNum w:abstractNumId="4">
    <w:lvl w:ilvl="0">
      <w:start w:val="1"/>
      <w:numFmt w:val="lowerLetter"/>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233447"/>
        <w:lang w:val="en"/>
      </w:rPr>
    </w:rPrDefault>
    <w:pPrDefault>
      <w:pPr>
        <w:spacing w:after="11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Bdr>
        <w:top w:color="2f6b9a" w:space="2" w:sz="0" w:val="none"/>
        <w:left w:color="2f6b9a" w:space="2" w:sz="0" w:val="none"/>
        <w:bottom w:color="2f6b9a" w:space="2" w:sz="0" w:val="none"/>
        <w:right w:color="2f6b9a" w:space="2" w:sz="0" w:val="none"/>
      </w:pBdr>
      <w:spacing w:after="130" w:line="285" w:lineRule="auto"/>
    </w:pPr>
    <w:rPr>
      <w:b w:val="1"/>
      <w:bCs w:val="1"/>
      <w:color w:val="082a4a"/>
      <w:sz w:val="27"/>
      <w:szCs w:val="27"/>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smallCaps w:val="1"/>
      <w:color w:val="082a4a"/>
      <w:sz w:val="19"/>
      <w:szCs w:val="19"/>
    </w:rPr>
  </w:style>
  <w:style w:type="paragraph" w:styleId="Heading3">
    <w:name w:val="heading 3"/>
    <w:basedOn w:val="Normal"/>
    <w:next w:val="Normal"/>
    <w:pPr>
      <w:keepNext w:val="1"/>
      <w:keepLines w:val="1"/>
    </w:pPr>
    <w:rPr>
      <w:rFonts w:ascii="Helvetica Neue" w:cs="Helvetica Neue" w:eastAsia="Helvetica Neue" w:hAnsi="Helvetica Neue"/>
      <w:b w:val="1"/>
      <w:bCs w:val="1"/>
      <w:color w:val="5b7085"/>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082a4a"/>
    </w:rPr>
  </w:style>
  <w:style w:type="paragraph" w:styleId="Heading5">
    <w:name w:val="heading 5"/>
    <w:basedOn w:val="Normal"/>
    <w:next w:val="Normal"/>
    <w:pPr>
      <w:keepNext w:val="1"/>
      <w:keepLines w:val="1"/>
      <w:spacing w:after="0" w:before="200" w:lineRule="auto"/>
    </w:pPr>
    <w:rPr>
      <w:rFonts w:ascii="Calibri" w:cs="Calibri" w:eastAsia="Calibri" w:hAnsi="Calibri"/>
      <w:color w:val="082a4a"/>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082a4a"/>
    </w:rPr>
  </w:style>
  <w:style w:type="paragraph" w:styleId="Title">
    <w:name w:val="Title"/>
    <w:basedOn w:val="Normal"/>
    <w:next w:val="Normal"/>
    <w:pPr>
      <w:spacing w:after="150" w:lineRule="auto"/>
    </w:pPr>
    <w:rPr>
      <w:b w:val="1"/>
      <w:bCs w:val="1"/>
      <w:color w:val="082a4a"/>
      <w:sz w:val="44"/>
      <w:szCs w:val="44"/>
    </w:rPr>
  </w:style>
  <w:style w:type="paragraph" w:styleId="Subtitle">
    <w:name w:val="Subtitle"/>
    <w:basedOn w:val="Normal"/>
    <w:next w:val="Normal"/>
    <w:pPr/>
    <w:rPr>
      <w:rFonts w:ascii="Calibri" w:cs="Calibri" w:eastAsia="Calibri" w:hAnsi="Calibri"/>
      <w:i w:val="1"/>
      <w:iCs w:val="1"/>
      <w:color w:val="082a4a"/>
      <w:sz w:val="24"/>
      <w:szCs w:val="24"/>
    </w:rPr>
  </w:style>
  <w:style w:type="table" w:styleId="Table1">
    <w:basedOn w:val="TableNormal"/>
    <w:tblPr>
      <w:tblStyleRowBandSize w:val="1"/>
      <w:tblStyleColBandSize w:val="1"/>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example.com/system-design/contracts" TargetMode="External"/><Relationship Id="rId5" Type="http://schemas.openxmlformats.org/officeDocument/2006/relationships/numbering" Target="numbering.xml"/><Relationship Id="rId6" Type="http://schemas.openxmlformats.org/officeDocument/2006/relationships/styles" Target="styles.xml"/><Relationship Id="rId8"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HelveticaNeueLight-regular.ttf"/><Relationship Id="rId6" Type="http://schemas.openxmlformats.org/officeDocument/2006/relationships/font" Target="fonts/HelveticaNeueLight-bold.ttf"/><Relationship Id="rId7" Type="http://schemas.openxmlformats.org/officeDocument/2006/relationships/font" Target="fonts/HelveticaNeueLight-italic.ttf"/><Relationship Id="rId8" Type="http://schemas.openxmlformats.org/officeDocument/2006/relationships/font" Target="fonts/HelveticaNeueLigh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