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79grnuh1fub" w:id="0"/>
      <w:bookmarkEnd w:id="0"/>
      <w:r w:rsidDel="00000000" w:rsidR="00000000" w:rsidRPr="00000000">
        <w:rPr>
          <w:rtl w:val="0"/>
        </w:rPr>
        <w:t xml:space="preserve">I. INTRODUCTION GÉNÉRALE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Contexte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L'éducation est un pilier fondamental du développement durable. En République Démocratique du Congo (RDC), les résultats des examens d'État représentent un indicateur clé de performance du système éducatif. Cependant, l'analyse de ces résultats reste souvent manuelle, fragmentée et peu exploitée pour orienter les décisions stratégiques. À l'ère de la transformation numérique, les outils d'aide à la décision basés sur les technologies de l'information, tels que les datawarehouses et les arbres de décision, offrent un potentiel considérable pour améliorer l'efficacité des politiques éducatives.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2. Problématique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Comment améliorer la prise de décision dans le secteur de l'éducation en RDC à partir des résultats des examens d'État, souvent sous-exploités ou mal analysés ?  </w:t>
      </w:r>
    </w:p>
    <w:p w:rsidR="00000000" w:rsidDel="00000000" w:rsidP="00000000" w:rsidRDefault="00000000" w:rsidRPr="00000000" w14:paraId="0000000A">
      <w:pPr>
        <w:rPr/>
      </w:pPr>
      <w:r w:rsidDel="00000000" w:rsidR="00000000" w:rsidRPr="00000000">
        <w:rPr>
          <w:rtl w:val="0"/>
        </w:rPr>
        <w:t xml:space="preserve">Existe-t-il un moyen technologique permettant une analyse approfondie, automatisée et visuellement exploitable de ces résultats pour orienter les réformes éducatives et mieux cibler les zones en difficulté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3. Hypothèses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L'intégration d'un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datawarehouse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centralisant les résultats des examens d'État permet une meilleure organisation et visualisation des données éducatives.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L'utilisation d’un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arbre de décision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appliqué aux données stockées dans le datawarehouse facilite l'identification des facteurs influençant la réussite ou l'échec.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combinaison de ces outils technologiques permettrait d'élaborer des recommandations concrètes pour améliorer les performances scolaires à l'échelle nationale.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4. Objectifs</w:t>
      </w:r>
    </w:p>
    <w:p w:rsidR="00000000" w:rsidDel="00000000" w:rsidP="00000000" w:rsidRDefault="00000000" w:rsidRPr="00000000" w14:paraId="00000013">
      <w:pPr>
        <w:pStyle w:val="Heading3"/>
        <w:rPr/>
      </w:pPr>
      <w:r w:rsidDel="00000000" w:rsidR="00000000" w:rsidRPr="00000000">
        <w:rPr>
          <w:rtl w:val="0"/>
        </w:rPr>
        <w:t xml:space="preserve">4.1. Objectif général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Mettre en place un outil d’aide à la décision basé sur un datawarehouse et des arbres de décision, afin de prendre des décisions cruciales pour le système éducatif congolais et pour la formation des futurs cadres de ce pays.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4.2. Objectifs spécifiques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Concevoir et implémenter un datawarehouse qui centraliserait les données liées aux Examens d’Etat pour assurer une meilleure organisation, intégrité et accessibilité des informations.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Développer un modèle d’arbre de décision permettant d’identifier les facteurs influençant la réussite ou l’échec des candidats.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Mettre en place des tableaux de bord et des rapports interactifs pour visualiser les performances des élèves, des écoles et des provinces.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Analyser les tendances et disparités dans les résultats (par genre, par province, par type d’école, etc.) afin d’éclairer les décisions des responsables éducatifs.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Proposer des plans d'actions stratégiques aux autorités du secteur éducatif pour améliorer la planification, l’orientation et la qualité de l’enseignement en RDC.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5. Subdivision du travail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Ce travail est subdivisé en 3 princaux points qui sont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Les systèmes décisionnels</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Le data warehouse</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L’arbre de décision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  II. ETAT DE L’ART</w:t>
      </w:r>
    </w:p>
    <w:p w:rsidR="00000000" w:rsidDel="00000000" w:rsidP="00000000" w:rsidRDefault="00000000" w:rsidRPr="00000000" w14:paraId="00000031">
      <w:pPr>
        <w:rPr/>
      </w:pPr>
      <w:r w:rsidDel="00000000" w:rsidR="00000000" w:rsidRPr="00000000">
        <w:rPr>
          <w:rtl w:val="0"/>
        </w:rPr>
        <w:t xml:space="preserve">L’état de l’art consiste ici à examiner les principales théories, approches et solutions technologiques existantes qui ont été développées autour de trois axes principaux : la Business Intelligence, le Datawarehouse et les arbres de décision.</w:t>
      </w:r>
    </w:p>
    <w:p w:rsidR="00000000" w:rsidDel="00000000" w:rsidP="00000000" w:rsidRDefault="00000000" w:rsidRPr="00000000" w14:paraId="00000032">
      <w:pPr>
        <w:pStyle w:val="Heading2"/>
        <w:rPr/>
      </w:pPr>
      <w:r w:rsidDel="00000000" w:rsidR="00000000" w:rsidRPr="00000000">
        <w:rPr>
          <w:rtl w:val="0"/>
        </w:rPr>
        <w:t xml:space="preserve">1. Le système décisionnel </w:t>
      </w:r>
    </w:p>
    <w:p w:rsidR="00000000" w:rsidDel="00000000" w:rsidP="00000000" w:rsidRDefault="00000000" w:rsidRPr="00000000" w14:paraId="00000033">
      <w:pPr>
        <w:rPr/>
      </w:pPr>
      <w:r w:rsidDel="00000000" w:rsidR="00000000" w:rsidRPr="00000000">
        <w:rPr>
          <w:rtl w:val="0"/>
        </w:rPr>
        <w:t xml:space="preserve">Le système décisionnel, ou </w:t>
      </w:r>
      <w:r w:rsidDel="00000000" w:rsidR="00000000" w:rsidRPr="00000000">
        <w:rPr>
          <w:b w:val="1"/>
          <w:rtl w:val="0"/>
        </w:rPr>
        <w:t xml:space="preserve">Business Intelligence (BI)</w:t>
      </w:r>
      <w:r w:rsidDel="00000000" w:rsidR="00000000" w:rsidRPr="00000000">
        <w:rPr>
          <w:rtl w:val="0"/>
        </w:rPr>
        <w:t xml:space="preserve">, regroupe un ensemble de méthodes, d’outils et de processus visant à transformer des données brutes en informations exploitables pour la prise de décision. Ses composantes principales incluent :</w:t>
      </w:r>
    </w:p>
    <w:p w:rsidR="00000000" w:rsidDel="00000000" w:rsidP="00000000" w:rsidRDefault="00000000" w:rsidRPr="00000000" w14:paraId="00000034">
      <w:pPr>
        <w:numPr>
          <w:ilvl w:val="0"/>
          <w:numId w:val="3"/>
        </w:numPr>
        <w:ind w:left="720" w:hanging="360"/>
        <w:rPr/>
      </w:pPr>
      <w:r w:rsidDel="00000000" w:rsidR="00000000" w:rsidRPr="00000000">
        <w:rPr>
          <w:b w:val="1"/>
          <w:rtl w:val="0"/>
        </w:rPr>
        <w:t xml:space="preserve">ETL (Extract, Transform, Load)</w:t>
      </w:r>
      <w:r w:rsidDel="00000000" w:rsidR="00000000" w:rsidRPr="00000000">
        <w:rPr>
          <w:rtl w:val="0"/>
        </w:rPr>
        <w:t xml:space="preserve"> pour la collecte, le nettoyage et le chargement des données ;</w:t>
      </w:r>
    </w:p>
    <w:p w:rsidR="00000000" w:rsidDel="00000000" w:rsidP="00000000" w:rsidRDefault="00000000" w:rsidRPr="00000000" w14:paraId="00000035">
      <w:pPr>
        <w:numPr>
          <w:ilvl w:val="0"/>
          <w:numId w:val="3"/>
        </w:numPr>
        <w:ind w:left="720" w:hanging="360"/>
        <w:rPr/>
      </w:pPr>
      <w:r w:rsidDel="00000000" w:rsidR="00000000" w:rsidRPr="00000000">
        <w:rPr>
          <w:b w:val="1"/>
          <w:rtl w:val="0"/>
        </w:rPr>
        <w:t xml:space="preserve">Datawarehouse</w:t>
      </w:r>
      <w:r w:rsidDel="00000000" w:rsidR="00000000" w:rsidRPr="00000000">
        <w:rPr>
          <w:rtl w:val="0"/>
        </w:rPr>
        <w:t xml:space="preserve"> pour le stockage centralisé et structuré ;</w:t>
      </w:r>
    </w:p>
    <w:p w:rsidR="00000000" w:rsidDel="00000000" w:rsidP="00000000" w:rsidRDefault="00000000" w:rsidRPr="00000000" w14:paraId="00000036">
      <w:pPr>
        <w:numPr>
          <w:ilvl w:val="0"/>
          <w:numId w:val="3"/>
        </w:numPr>
        <w:ind w:left="720" w:hanging="360"/>
        <w:rPr/>
      </w:pPr>
      <w:r w:rsidDel="00000000" w:rsidR="00000000" w:rsidRPr="00000000">
        <w:rPr>
          <w:b w:val="1"/>
          <w:rtl w:val="0"/>
        </w:rPr>
        <w:t xml:space="preserve">Outils OLAP</w:t>
      </w:r>
      <w:r w:rsidDel="00000000" w:rsidR="00000000" w:rsidRPr="00000000">
        <w:rPr>
          <w:rtl w:val="0"/>
        </w:rPr>
        <w:t xml:space="preserve"> pour l’analyse multidimensionnelle ;</w:t>
      </w:r>
    </w:p>
    <w:p w:rsidR="00000000" w:rsidDel="00000000" w:rsidP="00000000" w:rsidRDefault="00000000" w:rsidRPr="00000000" w14:paraId="00000037">
      <w:pPr>
        <w:numPr>
          <w:ilvl w:val="0"/>
          <w:numId w:val="3"/>
        </w:numPr>
        <w:ind w:left="720" w:hanging="360"/>
        <w:rPr/>
      </w:pPr>
      <w:r w:rsidDel="00000000" w:rsidR="00000000" w:rsidRPr="00000000">
        <w:rPr>
          <w:b w:val="1"/>
          <w:rtl w:val="0"/>
        </w:rPr>
        <w:t xml:space="preserve">Tableaux de bord (dashboards)</w:t>
      </w:r>
      <w:r w:rsidDel="00000000" w:rsidR="00000000" w:rsidRPr="00000000">
        <w:rPr>
          <w:rtl w:val="0"/>
        </w:rPr>
        <w:t xml:space="preserve"> et rapports interactifs pour la visualisation.</w:t>
      </w:r>
    </w:p>
    <w:p w:rsidR="00000000" w:rsidDel="00000000" w:rsidP="00000000" w:rsidRDefault="00000000" w:rsidRPr="00000000" w14:paraId="00000038">
      <w:pPr>
        <w:ind w:left="720" w:firstLine="0"/>
        <w:rPr>
          <w:b w:val="1"/>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2. Le Datawarehouse</w:t>
      </w:r>
    </w:p>
    <w:p w:rsidR="00000000" w:rsidDel="00000000" w:rsidP="00000000" w:rsidRDefault="00000000" w:rsidRPr="00000000" w14:paraId="0000003A">
      <w:pPr>
        <w:spacing w:line="240" w:lineRule="auto"/>
        <w:rPr/>
      </w:pPr>
      <w:r w:rsidDel="00000000" w:rsidR="00000000" w:rsidRPr="00000000">
        <w:rPr>
          <w:rtl w:val="0"/>
        </w:rPr>
        <w:t xml:space="preserve">Le datawarehouse, ou entrepôt de données, est une base de données décisionnelle permettant de centraliser, historiser et organiser des données issues de sources multiples afin de faciliter leur analyse stratégique (Inmon, 2005). Contrairement aux bases opérationnelles (OLTP), orientées vers la gestion des transactions quotidiennes, le datawarehouse est conçu pour l’analyse multidimensionnelle et l’aide à la décision (Kimball &amp; Ross, 2013).</w:t>
      </w:r>
    </w:p>
    <w:p w:rsidR="00000000" w:rsidDel="00000000" w:rsidP="00000000" w:rsidRDefault="00000000" w:rsidRPr="00000000" w14:paraId="0000003B">
      <w:pPr>
        <w:spacing w:line="240" w:lineRule="auto"/>
        <w:rPr/>
      </w:pPr>
      <w:r w:rsidDel="00000000" w:rsidR="00000000" w:rsidRPr="00000000">
        <w:rPr>
          <w:rtl w:val="0"/>
        </w:rPr>
        <w:t xml:space="preserve">Il repose sur trois composantes essentielles :</w:t>
      </w:r>
    </w:p>
    <w:p w:rsidR="00000000" w:rsidDel="00000000" w:rsidP="00000000" w:rsidRDefault="00000000" w:rsidRPr="00000000" w14:paraId="0000003C">
      <w:pPr>
        <w:numPr>
          <w:ilvl w:val="0"/>
          <w:numId w:val="4"/>
        </w:numPr>
        <w:spacing w:after="200" w:line="240" w:lineRule="auto"/>
        <w:ind w:left="720" w:hanging="360"/>
        <w:rPr/>
      </w:pPr>
      <w:r w:rsidDel="00000000" w:rsidR="00000000" w:rsidRPr="00000000">
        <w:rPr>
          <w:b w:val="1"/>
          <w:rtl w:val="0"/>
        </w:rPr>
        <w:t xml:space="preserve">Sources de données</w:t>
      </w:r>
      <w:r w:rsidDel="00000000" w:rsidR="00000000" w:rsidRPr="00000000">
        <w:rPr>
          <w:rtl w:val="0"/>
        </w:rPr>
        <w:t xml:space="preserve"> : bases relationnelles, ERP, fichiers plats ou Excel.</w:t>
      </w:r>
    </w:p>
    <w:p w:rsidR="00000000" w:rsidDel="00000000" w:rsidP="00000000" w:rsidRDefault="00000000" w:rsidRPr="00000000" w14:paraId="0000003D">
      <w:pPr>
        <w:numPr>
          <w:ilvl w:val="0"/>
          <w:numId w:val="4"/>
        </w:numPr>
        <w:spacing w:after="200" w:line="240" w:lineRule="auto"/>
        <w:ind w:left="720" w:hanging="360"/>
        <w:rPr/>
      </w:pPr>
      <w:r w:rsidDel="00000000" w:rsidR="00000000" w:rsidRPr="00000000">
        <w:rPr>
          <w:b w:val="1"/>
          <w:rtl w:val="0"/>
        </w:rPr>
        <w:t xml:space="preserve">ETL (Extract, Transform, Load)</w:t>
      </w:r>
      <w:r w:rsidDel="00000000" w:rsidR="00000000" w:rsidRPr="00000000">
        <w:rPr>
          <w:rtl w:val="0"/>
        </w:rPr>
        <w:t xml:space="preserve"> : extraction, nettoyage, transformation et intégration.</w:t>
      </w:r>
    </w:p>
    <w:p w:rsidR="00000000" w:rsidDel="00000000" w:rsidP="00000000" w:rsidRDefault="00000000" w:rsidRPr="00000000" w14:paraId="0000003E">
      <w:pPr>
        <w:numPr>
          <w:ilvl w:val="0"/>
          <w:numId w:val="4"/>
        </w:numPr>
        <w:spacing w:after="200" w:line="240" w:lineRule="auto"/>
        <w:ind w:left="720" w:hanging="360"/>
        <w:rPr/>
      </w:pPr>
      <w:r w:rsidDel="00000000" w:rsidR="00000000" w:rsidRPr="00000000">
        <w:rPr>
          <w:b w:val="1"/>
          <w:rtl w:val="0"/>
        </w:rPr>
        <w:t xml:space="preserve">Stockage et exploitation</w:t>
      </w:r>
      <w:r w:rsidDel="00000000" w:rsidR="00000000" w:rsidRPr="00000000">
        <w:rPr>
          <w:rtl w:val="0"/>
        </w:rPr>
        <w:t xml:space="preserve"> : structuration en modèles multidimensionnels (schéma en étoile ou en flocon).</w:t>
      </w:r>
    </w:p>
    <w:p w:rsidR="00000000" w:rsidDel="00000000" w:rsidP="00000000" w:rsidRDefault="00000000" w:rsidRPr="00000000" w14:paraId="0000003F">
      <w:pPr>
        <w:spacing w:line="240" w:lineRule="auto"/>
        <w:rPr/>
      </w:pPr>
      <w:r w:rsidDel="00000000" w:rsidR="00000000" w:rsidRPr="00000000">
        <w:rPr>
          <w:rtl w:val="0"/>
        </w:rPr>
        <w:t xml:space="preserve">Dans notre projet, le datawarehouse sera alimenté par les palmarès de l’Examen d’État (Exetat), initialement publiés en PDF puis convertis en Excel. Ces données seront nettoyées et intégrées afin d’obtenir une base unique et cohérente des performances scolaires à travers la R2.</w:t>
      </w:r>
    </w:p>
    <w:p w:rsidR="00000000" w:rsidDel="00000000" w:rsidP="00000000" w:rsidRDefault="00000000" w:rsidRPr="00000000" w14:paraId="00000040">
      <w:pPr>
        <w:pStyle w:val="Heading2"/>
        <w:rPr/>
      </w:pPr>
      <w:r w:rsidDel="00000000" w:rsidR="00000000" w:rsidRPr="00000000">
        <w:rPr>
          <w:rtl w:val="0"/>
        </w:rPr>
        <w:t xml:space="preserve">3. Les Arbres de décision</w:t>
      </w:r>
    </w:p>
    <w:p w:rsidR="00000000" w:rsidDel="00000000" w:rsidP="00000000" w:rsidRDefault="00000000" w:rsidRPr="00000000" w14:paraId="00000041">
      <w:pPr>
        <w:spacing w:line="240" w:lineRule="auto"/>
        <w:rPr/>
      </w:pPr>
      <w:r w:rsidDel="00000000" w:rsidR="00000000" w:rsidRPr="00000000">
        <w:rPr>
          <w:rtl w:val="0"/>
        </w:rPr>
        <w:t xml:space="preserve">Les arbres de décision sont une technique d’apprentissage supervisé utilisée en intelligence artificielle et en fouille de données. Ils permettent de classer ou prédire en représentant un processus de décision sous forme d’arborescence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nœuds internes correspondent à des tests (ex : « Province = Kinshasa ? »), les branches aux valeurs possibles, et les feuilles aux décisions finales (ex. réussite, échec) (Quinlan, 1993).</w:t>
      </w:r>
    </w:p>
    <w:p w:rsidR="00000000" w:rsidDel="00000000" w:rsidP="00000000" w:rsidRDefault="00000000" w:rsidRPr="00000000" w14:paraId="00000043">
      <w:pPr>
        <w:spacing w:line="240" w:lineRule="auto"/>
        <w:rPr/>
      </w:pPr>
      <w:r w:rsidDel="00000000" w:rsidR="00000000" w:rsidRPr="00000000">
        <w:rPr>
          <w:rtl w:val="0"/>
        </w:rPr>
        <w:t xml:space="preserve">Leur construction repose sur des critères comme le gain d’information (ID3) ou l’indice de Gini (CART). Ces méthodes permettent de sélectionner l’attribut le plus pertinent à chaque étape. </w:t>
      </w:r>
    </w:p>
    <w:p w:rsidR="00000000" w:rsidDel="00000000" w:rsidP="00000000" w:rsidRDefault="00000000" w:rsidRPr="00000000" w14:paraId="00000044">
      <w:pPr>
        <w:spacing w:line="240" w:lineRule="auto"/>
        <w:rPr/>
      </w:pPr>
      <w:r w:rsidDel="00000000" w:rsidR="00000000" w:rsidRPr="00000000">
        <w:rPr>
          <w:rtl w:val="0"/>
        </w:rPr>
        <w:t xml:space="preserve">Dans ce projet, les arbres de décision exploiteront les données consolidées du datawarehouse pour dégager des règles prédictives sur la réussite des élèves et mettre en évidence les principaux déterminants des performances scolaires en RDC.</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4. SOLUTION SIMILAIRE EXISTANTES</w:t>
      </w:r>
    </w:p>
    <w:p w:rsidR="00000000" w:rsidDel="00000000" w:rsidP="00000000" w:rsidRDefault="00000000" w:rsidRPr="00000000" w14:paraId="00000048">
      <w:pPr>
        <w:pStyle w:val="Heading3"/>
        <w:rPr/>
      </w:pPr>
      <w:r w:rsidDel="00000000" w:rsidR="00000000" w:rsidRPr="00000000">
        <w:rPr>
          <w:rtl w:val="0"/>
        </w:rPr>
        <w:t xml:space="preserve">1. Systèmes décisionnels éducatifs basés sur le Datawarehouse et OLAP</w:t>
      </w:r>
    </w:p>
    <w:p w:rsidR="00000000" w:rsidDel="00000000" w:rsidP="00000000" w:rsidRDefault="00000000" w:rsidRPr="00000000" w14:paraId="00000049">
      <w:pPr>
        <w:ind w:left="720" w:firstLine="0"/>
        <w:rPr/>
      </w:pPr>
      <w:r w:rsidDel="00000000" w:rsidR="00000000" w:rsidRPr="00000000">
        <w:rPr>
          <w:rtl w:val="0"/>
        </w:rPr>
        <w:t xml:space="preserve">Des chercheurs comme </w:t>
      </w:r>
      <w:r w:rsidDel="00000000" w:rsidR="00000000" w:rsidRPr="00000000">
        <w:rPr>
          <w:b w:val="1"/>
          <w:rtl w:val="0"/>
        </w:rPr>
        <w:t xml:space="preserve">Khalaf Hamoud et al. (2021)</w:t>
      </w:r>
      <w:r w:rsidDel="00000000" w:rsidR="00000000" w:rsidRPr="00000000">
        <w:rPr>
          <w:rtl w:val="0"/>
        </w:rPr>
        <w:t xml:space="preserve"> ont proposé une feuille de route pour la mise en place de systèmes décisionnels dans le domaine éducatif. Ils ont utilisé un </w:t>
      </w:r>
      <w:r w:rsidDel="00000000" w:rsidR="00000000" w:rsidRPr="00000000">
        <w:rPr>
          <w:b w:val="1"/>
          <w:rtl w:val="0"/>
        </w:rPr>
        <w:t xml:space="preserve">data mart éducatif</w:t>
      </w:r>
      <w:r w:rsidDel="00000000" w:rsidR="00000000" w:rsidRPr="00000000">
        <w:rPr>
          <w:rtl w:val="0"/>
        </w:rPr>
        <w:t xml:space="preserve"> (une version spécialisée du datawarehouse) combiné avec des outils </w:t>
      </w:r>
      <w:r w:rsidDel="00000000" w:rsidR="00000000" w:rsidRPr="00000000">
        <w:rPr>
          <w:b w:val="1"/>
          <w:rtl w:val="0"/>
        </w:rPr>
        <w:t xml:space="preserve">OLAP (On-Line Analytical Processing)</w:t>
      </w:r>
      <w:r w:rsidDel="00000000" w:rsidR="00000000" w:rsidRPr="00000000">
        <w:rPr>
          <w:rtl w:val="0"/>
        </w:rPr>
        <w:t xml:space="preserve"> afin d’analyser les performances des étudiants et fournir des indicateurs clés aux responsables académiques. Ce système a permis de faciliter le suivi des résultats scolaires et de proposer des tableaux de bord compréhensibles pour les décideurs.</w:t>
      </w:r>
      <w:r w:rsidDel="00000000" w:rsidR="00000000" w:rsidRPr="00000000">
        <w:rPr>
          <w:vertAlign w:val="superscript"/>
        </w:rPr>
        <w:footnoteReference w:customMarkFollows="0" w:id="0"/>
      </w:r>
      <w:r w:rsidDel="00000000" w:rsidR="00000000" w:rsidRPr="00000000">
        <w:rPr>
          <w:rtl w:val="0"/>
        </w:rPr>
        <w:br w:type="textWrapping"/>
      </w:r>
    </w:p>
    <w:p w:rsidR="00000000" w:rsidDel="00000000" w:rsidP="00000000" w:rsidRDefault="00000000" w:rsidRPr="00000000" w14:paraId="0000004A">
      <w:pPr>
        <w:pStyle w:val="Heading3"/>
        <w:jc w:val="center"/>
        <w:rPr/>
      </w:pPr>
      <w:r w:rsidDel="00000000" w:rsidR="00000000" w:rsidRPr="00000000">
        <w:rPr>
          <w:rtl w:val="0"/>
        </w:rPr>
        <w:t xml:space="preserve">2. Prédiction de la performance académique à partir du Datawarehouse et du Data Mining</w:t>
      </w:r>
    </w:p>
    <w:p w:rsidR="00000000" w:rsidDel="00000000" w:rsidP="00000000" w:rsidRDefault="00000000" w:rsidRPr="00000000" w14:paraId="0000004B">
      <w:pPr>
        <w:ind w:left="720" w:firstLine="0"/>
        <w:rPr/>
      </w:pPr>
      <w:r w:rsidDel="00000000" w:rsidR="00000000" w:rsidRPr="00000000">
        <w:rPr>
          <w:b w:val="1"/>
          <w:rtl w:val="0"/>
        </w:rPr>
        <w:t xml:space="preserve">Kurniawan &amp; Halim (2021)</w:t>
      </w:r>
      <w:r w:rsidDel="00000000" w:rsidR="00000000" w:rsidRPr="00000000">
        <w:rPr>
          <w:rtl w:val="0"/>
        </w:rPr>
        <w:t xml:space="preserve"> se sont intéressés à la prédiction de la performance des étudiants en combinant un </w:t>
      </w:r>
      <w:r w:rsidDel="00000000" w:rsidR="00000000" w:rsidRPr="00000000">
        <w:rPr>
          <w:b w:val="1"/>
          <w:rtl w:val="0"/>
        </w:rPr>
        <w:t xml:space="preserve">Datawarehouse</w:t>
      </w:r>
      <w:r w:rsidDel="00000000" w:rsidR="00000000" w:rsidRPr="00000000">
        <w:rPr>
          <w:rtl w:val="0"/>
        </w:rPr>
        <w:t xml:space="preserve"> structuré selon le schéma en étoile (Kimball) et des méthodes de </w:t>
      </w:r>
      <w:r w:rsidDel="00000000" w:rsidR="00000000" w:rsidRPr="00000000">
        <w:rPr>
          <w:b w:val="1"/>
          <w:rtl w:val="0"/>
        </w:rPr>
        <w:t xml:space="preserve">Data Mining</w:t>
      </w:r>
      <w:r w:rsidDel="00000000" w:rsidR="00000000" w:rsidRPr="00000000">
        <w:rPr>
          <w:rtl w:val="0"/>
        </w:rPr>
        <w:t xml:space="preserve">, notamment les arbres de décision. Leur objectif était de fournir aux établissements scolaires un outil permettant d’identifier les facteurs influençant la réussite académique et de soutenir la prise de décision. Les résultats ont montré que cette combinaison permet de mieux anticiper les besoins des étudiants, bien que l’efficacité dépende fortement de la qualité et de la complétude des données collectées.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4C">
      <w:pPr>
        <w:pStyle w:val="Heading3"/>
        <w:jc w:val="center"/>
        <w:rPr/>
      </w:pPr>
      <w:r w:rsidDel="00000000" w:rsidR="00000000" w:rsidRPr="00000000">
        <w:rPr>
          <w:rtl w:val="0"/>
        </w:rPr>
        <w:t xml:space="preserve">3. Utilisation des Learning Analytics dans l’enseignement en ligne – Afrique du Sud</w:t>
      </w:r>
    </w:p>
    <w:p w:rsidR="00000000" w:rsidDel="00000000" w:rsidP="00000000" w:rsidRDefault="00000000" w:rsidRPr="00000000" w14:paraId="0000004D">
      <w:pPr>
        <w:ind w:left="720" w:firstLine="0"/>
        <w:rPr/>
      </w:pPr>
      <w:r w:rsidDel="00000000" w:rsidR="00000000" w:rsidRPr="00000000">
        <w:rPr>
          <w:b w:val="1"/>
          <w:rtl w:val="0"/>
        </w:rPr>
        <w:t xml:space="preserve">Molokeng P. M. (2021)</w:t>
      </w:r>
      <w:r w:rsidDel="00000000" w:rsidR="00000000" w:rsidRPr="00000000">
        <w:rPr>
          <w:rtl w:val="0"/>
        </w:rPr>
        <w:t xml:space="preserve"> a exploré comment les </w:t>
      </w:r>
      <w:r w:rsidDel="00000000" w:rsidR="00000000" w:rsidRPr="00000000">
        <w:rPr>
          <w:b w:val="1"/>
          <w:rtl w:val="0"/>
        </w:rPr>
        <w:t xml:space="preserve">Learning Analytics</w:t>
      </w:r>
      <w:r w:rsidDel="00000000" w:rsidR="00000000" w:rsidRPr="00000000">
        <w:rPr>
          <w:rtl w:val="0"/>
        </w:rPr>
        <w:t xml:space="preserve"> pouvaient améliorer l’enseignement en ligne dans les universités sud-africaines. Il a mené une </w:t>
      </w:r>
      <w:r w:rsidDel="00000000" w:rsidR="00000000" w:rsidRPr="00000000">
        <w:rPr>
          <w:b w:val="1"/>
          <w:rtl w:val="0"/>
        </w:rPr>
        <w:t xml:space="preserve">étude de cas</w:t>
      </w:r>
      <w:r w:rsidDel="00000000" w:rsidR="00000000" w:rsidRPr="00000000">
        <w:rPr>
          <w:rtl w:val="0"/>
        </w:rPr>
        <w:t xml:space="preserve"> dans plusieurs institutions, analysant les données sur l’engagement des étudiants, leurs performances et leurs interactions avec les plateformes numériques. Les résultats ont montré que l’usage des Learning Analytics permet de mieux identifier les étudiants à risque et de mettre en place des interventions ciblées. L’étude était cependant limitée à certaines institutions et manquait de données longitudinales.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4E">
      <w:pPr>
        <w:pStyle w:val="Heading3"/>
        <w:jc w:val="center"/>
        <w:rPr/>
      </w:pPr>
      <w:r w:rsidDel="00000000" w:rsidR="00000000" w:rsidRPr="00000000">
        <w:rPr>
          <w:rtl w:val="0"/>
        </w:rPr>
        <w:t xml:space="preserve">4. Transformation pédagogique grâce aux Learning Analytics – Afrique subsaharienne</w:t>
      </w:r>
    </w:p>
    <w:p w:rsidR="00000000" w:rsidDel="00000000" w:rsidP="00000000" w:rsidRDefault="00000000" w:rsidRPr="00000000" w14:paraId="0000004F">
      <w:pPr>
        <w:ind w:left="720" w:firstLine="0"/>
        <w:rPr/>
      </w:pPr>
      <w:r w:rsidDel="00000000" w:rsidR="00000000" w:rsidRPr="00000000">
        <w:rPr>
          <w:b w:val="1"/>
          <w:rtl w:val="0"/>
        </w:rPr>
        <w:t xml:space="preserve">Ogundaini &amp; Mlitwa (2023)</w:t>
      </w:r>
      <w:r w:rsidDel="00000000" w:rsidR="00000000" w:rsidRPr="00000000">
        <w:rPr>
          <w:rtl w:val="0"/>
        </w:rPr>
        <w:t xml:space="preserve"> ont étudié le potentiel des </w:t>
      </w:r>
      <w:r w:rsidDel="00000000" w:rsidR="00000000" w:rsidRPr="00000000">
        <w:rPr>
          <w:b w:val="1"/>
          <w:rtl w:val="0"/>
        </w:rPr>
        <w:t xml:space="preserve">Learning Analytics</w:t>
      </w:r>
      <w:r w:rsidDel="00000000" w:rsidR="00000000" w:rsidRPr="00000000">
        <w:rPr>
          <w:rtl w:val="0"/>
        </w:rPr>
        <w:t xml:space="preserve"> pour transformer l’enseignement supérieur en Afrique subsaharienne. À travers une </w:t>
      </w:r>
      <w:r w:rsidDel="00000000" w:rsidR="00000000" w:rsidRPr="00000000">
        <w:rPr>
          <w:b w:val="1"/>
          <w:rtl w:val="0"/>
        </w:rPr>
        <w:t xml:space="preserve">revue systématique de la littérature</w:t>
      </w:r>
      <w:r w:rsidDel="00000000" w:rsidR="00000000" w:rsidRPr="00000000">
        <w:rPr>
          <w:rtl w:val="0"/>
        </w:rPr>
        <w:t xml:space="preserve">, ils ont montré que ces outils sont encore sous-utilisés, alors qu’ils pourraient améliorer la performance académique, le suivi des étudiants et la prise de décision pédagogique. L’étude souligne cependant le manque d’expériences empiriques sur le terrain.</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5. Analyse prédictive de la performance des étudiants – Nigéria</w:t>
      </w:r>
    </w:p>
    <w:p w:rsidR="00000000" w:rsidDel="00000000" w:rsidP="00000000" w:rsidRDefault="00000000" w:rsidRPr="00000000" w14:paraId="00000051">
      <w:pPr>
        <w:ind w:left="720" w:firstLine="0"/>
        <w:rPr/>
      </w:pPr>
      <w:r w:rsidDel="00000000" w:rsidR="00000000" w:rsidRPr="00000000">
        <w:rPr>
          <w:b w:val="1"/>
          <w:rtl w:val="0"/>
        </w:rPr>
        <w:t xml:space="preserve">Oguine et al. (2022)</w:t>
      </w:r>
      <w:r w:rsidDel="00000000" w:rsidR="00000000" w:rsidRPr="00000000">
        <w:rPr>
          <w:rtl w:val="0"/>
        </w:rPr>
        <w:t xml:space="preserve"> ont développé des modèles d’</w:t>
      </w:r>
      <w:r w:rsidDel="00000000" w:rsidR="00000000" w:rsidRPr="00000000">
        <w:rPr>
          <w:b w:val="1"/>
          <w:rtl w:val="0"/>
        </w:rPr>
        <w:t xml:space="preserve">analyse prédictive</w:t>
      </w:r>
      <w:r w:rsidDel="00000000" w:rsidR="00000000" w:rsidRPr="00000000">
        <w:rPr>
          <w:rtl w:val="0"/>
        </w:rPr>
        <w:t xml:space="preserve"> pour anticiper la performance des étudiants dans les universités nigérianes. Ils ont collecté des données académiques et socio-économiques auprès de plusieurs institutions et appliqué des techniques de </w:t>
      </w:r>
      <w:r w:rsidDel="00000000" w:rsidR="00000000" w:rsidRPr="00000000">
        <w:rPr>
          <w:b w:val="1"/>
          <w:rtl w:val="0"/>
        </w:rPr>
        <w:t xml:space="preserve">Big Data</w:t>
      </w:r>
      <w:r w:rsidDel="00000000" w:rsidR="00000000" w:rsidRPr="00000000">
        <w:rPr>
          <w:rtl w:val="0"/>
        </w:rPr>
        <w:t xml:space="preserve">. Cette approche a permis d’identifier les étudiants à risque et de mieux cibler les interventions pédagogiques. Toutefois, l’étude a mis en évidence des limitations liées au manque d’infrastructure technique et de formation spécialisée dans les universités locales.</w:t>
      </w:r>
      <w:r w:rsidDel="00000000" w:rsidR="00000000" w:rsidRPr="00000000">
        <w:rPr>
          <w:vertAlign w:val="superscript"/>
        </w:rPr>
        <w:footnoteReference w:customMarkFollows="0" w:id="4"/>
      </w:r>
      <w:r w:rsidDel="00000000" w:rsidR="00000000" w:rsidRPr="00000000">
        <w:rPr>
          <w:rtl w:val="0"/>
        </w:rPr>
        <w:br w:type="textWrapping"/>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5. TABLEAU RECAPUTILATIF</w:t>
      </w:r>
    </w:p>
    <w:p w:rsidR="00000000" w:rsidDel="00000000" w:rsidP="00000000" w:rsidRDefault="00000000" w:rsidRPr="00000000" w14:paraId="00000057">
      <w:pPr>
        <w:rPr/>
      </w:pPr>
      <w:r w:rsidDel="00000000" w:rsidR="00000000" w:rsidRPr="00000000">
        <w:rPr>
          <w:rtl w:val="0"/>
        </w:rPr>
      </w:r>
    </w:p>
    <w:tbl>
      <w:tblPr>
        <w:tblStyle w:val="Table1"/>
        <w:tblW w:w="1077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2499"/>
        <w:gridCol w:w="2268"/>
        <w:gridCol w:w="2551"/>
        <w:tblGridChange w:id="0">
          <w:tblGrid>
            <w:gridCol w:w="1728"/>
            <w:gridCol w:w="1728"/>
            <w:gridCol w:w="2499"/>
            <w:gridCol w:w="2268"/>
            <w:gridCol w:w="2551"/>
          </w:tblGrid>
        </w:tblGridChange>
      </w:tblGrid>
      <w:tr>
        <w:trPr>
          <w:cantSplit w:val="0"/>
          <w:tblHeader w:val="0"/>
        </w:trPr>
        <w:tc>
          <w:tcPr/>
          <w:p w:rsidR="00000000" w:rsidDel="00000000" w:rsidP="00000000" w:rsidRDefault="00000000" w:rsidRPr="00000000" w14:paraId="00000058">
            <w:pPr>
              <w:spacing w:line="276" w:lineRule="auto"/>
              <w:rPr/>
            </w:pPr>
            <w:r w:rsidDel="00000000" w:rsidR="00000000" w:rsidRPr="00000000">
              <w:rPr>
                <w:rtl w:val="0"/>
              </w:rPr>
              <w:t xml:space="preserve">Auteurs</w:t>
            </w:r>
          </w:p>
        </w:tc>
        <w:tc>
          <w:tcPr/>
          <w:p w:rsidR="00000000" w:rsidDel="00000000" w:rsidP="00000000" w:rsidRDefault="00000000" w:rsidRPr="00000000" w14:paraId="00000059">
            <w:pPr>
              <w:spacing w:line="276" w:lineRule="auto"/>
              <w:rPr/>
            </w:pPr>
            <w:r w:rsidDel="00000000" w:rsidR="00000000" w:rsidRPr="00000000">
              <w:rPr>
                <w:rtl w:val="0"/>
              </w:rPr>
              <w:t xml:space="preserve">Type</w:t>
            </w:r>
          </w:p>
        </w:tc>
        <w:tc>
          <w:tcPr/>
          <w:p w:rsidR="00000000" w:rsidDel="00000000" w:rsidP="00000000" w:rsidRDefault="00000000" w:rsidRPr="00000000" w14:paraId="0000005A">
            <w:pPr>
              <w:spacing w:line="276" w:lineRule="auto"/>
              <w:rPr/>
            </w:pPr>
            <w:r w:rsidDel="00000000" w:rsidR="00000000" w:rsidRPr="00000000">
              <w:rPr>
                <w:rtl w:val="0"/>
              </w:rPr>
              <w:t xml:space="preserve">Thématique</w:t>
            </w:r>
          </w:p>
        </w:tc>
        <w:tc>
          <w:tcPr/>
          <w:p w:rsidR="00000000" w:rsidDel="00000000" w:rsidP="00000000" w:rsidRDefault="00000000" w:rsidRPr="00000000" w14:paraId="0000005B">
            <w:pPr>
              <w:spacing w:line="276" w:lineRule="auto"/>
              <w:rPr/>
            </w:pPr>
            <w:r w:rsidDel="00000000" w:rsidR="00000000" w:rsidRPr="00000000">
              <w:rPr>
                <w:rtl w:val="0"/>
              </w:rPr>
              <w:t xml:space="preserve">Méthodologie</w:t>
            </w:r>
          </w:p>
        </w:tc>
        <w:tc>
          <w:tcPr/>
          <w:p w:rsidR="00000000" w:rsidDel="00000000" w:rsidP="00000000" w:rsidRDefault="00000000" w:rsidRPr="00000000" w14:paraId="0000005C">
            <w:pPr>
              <w:spacing w:line="276" w:lineRule="auto"/>
              <w:rPr/>
            </w:pPr>
            <w:r w:rsidDel="00000000" w:rsidR="00000000" w:rsidRPr="00000000">
              <w:rPr>
                <w:rtl w:val="0"/>
              </w:rPr>
              <w:t xml:space="preserve">Limites</w:t>
            </w:r>
          </w:p>
        </w:tc>
      </w:tr>
      <w:tr>
        <w:trPr>
          <w:cantSplit w:val="0"/>
          <w:tblHeader w:val="0"/>
        </w:trPr>
        <w:tc>
          <w:tcPr/>
          <w:p w:rsidR="00000000" w:rsidDel="00000000" w:rsidP="00000000" w:rsidRDefault="00000000" w:rsidRPr="00000000" w14:paraId="0000005D">
            <w:pPr>
              <w:spacing w:line="276" w:lineRule="auto"/>
              <w:rPr/>
            </w:pPr>
            <w:r w:rsidDel="00000000" w:rsidR="00000000" w:rsidRPr="00000000">
              <w:rPr>
                <w:rtl w:val="0"/>
              </w:rPr>
              <w:t xml:space="preserve">Molokeng P. M. (2021)</w:t>
            </w:r>
          </w:p>
        </w:tc>
        <w:tc>
          <w:tcPr/>
          <w:p w:rsidR="00000000" w:rsidDel="00000000" w:rsidP="00000000" w:rsidRDefault="00000000" w:rsidRPr="00000000" w14:paraId="0000005E">
            <w:pPr>
              <w:spacing w:line="276" w:lineRule="auto"/>
              <w:rPr/>
            </w:pPr>
            <w:r w:rsidDel="00000000" w:rsidR="00000000" w:rsidRPr="00000000">
              <w:rPr>
                <w:rtl w:val="0"/>
              </w:rPr>
              <w:t xml:space="preserve">Thèse</w:t>
            </w:r>
          </w:p>
        </w:tc>
        <w:tc>
          <w:tcPr/>
          <w:p w:rsidR="00000000" w:rsidDel="00000000" w:rsidP="00000000" w:rsidRDefault="00000000" w:rsidRPr="00000000" w14:paraId="0000005F">
            <w:pPr>
              <w:spacing w:line="276" w:lineRule="auto"/>
              <w:rPr/>
            </w:pPr>
            <w:r w:rsidDel="00000000" w:rsidR="00000000" w:rsidRPr="00000000">
              <w:rPr>
                <w:rtl w:val="0"/>
              </w:rPr>
              <w:t xml:space="preserve">Utilisation des Learning Analytics dans l’enseignement en ligne en Afrique du Sud</w:t>
            </w:r>
          </w:p>
        </w:tc>
        <w:tc>
          <w:tcPr/>
          <w:p w:rsidR="00000000" w:rsidDel="00000000" w:rsidP="00000000" w:rsidRDefault="00000000" w:rsidRPr="00000000" w14:paraId="00000060">
            <w:pPr>
              <w:spacing w:line="276" w:lineRule="auto"/>
              <w:rPr/>
            </w:pPr>
            <w:r w:rsidDel="00000000" w:rsidR="00000000" w:rsidRPr="00000000">
              <w:rPr>
                <w:rtl w:val="0"/>
              </w:rPr>
              <w:t xml:space="preserve">Étude de cas dans des institutions d’enseignement supérieur sud-africaines</w:t>
            </w:r>
          </w:p>
        </w:tc>
        <w:tc>
          <w:tcPr/>
          <w:p w:rsidR="00000000" w:rsidDel="00000000" w:rsidP="00000000" w:rsidRDefault="00000000" w:rsidRPr="00000000" w14:paraId="00000061">
            <w:pPr>
              <w:spacing w:line="276" w:lineRule="auto"/>
              <w:rPr/>
            </w:pPr>
            <w:r w:rsidDel="00000000" w:rsidR="00000000" w:rsidRPr="00000000">
              <w:rPr>
                <w:rtl w:val="0"/>
              </w:rPr>
              <w:t xml:space="preserve">Manque de données longitudinales et de diversité contextuelle</w:t>
            </w:r>
          </w:p>
        </w:tc>
      </w:tr>
      <w:tr>
        <w:trPr>
          <w:cantSplit w:val="0"/>
          <w:tblHeader w:val="0"/>
        </w:trPr>
        <w:tc>
          <w:tcPr/>
          <w:p w:rsidR="00000000" w:rsidDel="00000000" w:rsidP="00000000" w:rsidRDefault="00000000" w:rsidRPr="00000000" w14:paraId="00000062">
            <w:pPr>
              <w:spacing w:line="276" w:lineRule="auto"/>
              <w:rPr/>
            </w:pPr>
            <w:r w:rsidDel="00000000" w:rsidR="00000000" w:rsidRPr="00000000">
              <w:rPr>
                <w:rtl w:val="0"/>
              </w:rPr>
              <w:t xml:space="preserve">Ogundaini &amp; Mlitwa (2023)</w:t>
            </w:r>
          </w:p>
        </w:tc>
        <w:tc>
          <w:tcPr/>
          <w:p w:rsidR="00000000" w:rsidDel="00000000" w:rsidP="00000000" w:rsidRDefault="00000000" w:rsidRPr="00000000" w14:paraId="00000063">
            <w:pPr>
              <w:spacing w:line="276" w:lineRule="auto"/>
              <w:rPr/>
            </w:pPr>
            <w:r w:rsidDel="00000000" w:rsidR="00000000" w:rsidRPr="00000000">
              <w:rPr>
                <w:rtl w:val="0"/>
              </w:rPr>
              <w:t xml:space="preserve">Article</w:t>
            </w:r>
          </w:p>
        </w:tc>
        <w:tc>
          <w:tcPr/>
          <w:p w:rsidR="00000000" w:rsidDel="00000000" w:rsidP="00000000" w:rsidRDefault="00000000" w:rsidRPr="00000000" w14:paraId="00000064">
            <w:pPr>
              <w:spacing w:line="276" w:lineRule="auto"/>
              <w:rPr/>
            </w:pPr>
            <w:r w:rsidDel="00000000" w:rsidR="00000000" w:rsidRPr="00000000">
              <w:rPr>
                <w:rtl w:val="0"/>
              </w:rPr>
              <w:t xml:space="preserve">Utilisation des Learning Analytics comme outil de transformation dans l'enseignement supérieur en Afrique subsaharienne</w:t>
            </w:r>
          </w:p>
        </w:tc>
        <w:tc>
          <w:tcPr/>
          <w:p w:rsidR="00000000" w:rsidDel="00000000" w:rsidP="00000000" w:rsidRDefault="00000000" w:rsidRPr="00000000" w14:paraId="00000065">
            <w:pPr>
              <w:spacing w:line="276" w:lineRule="auto"/>
              <w:rPr/>
            </w:pPr>
            <w:r w:rsidDel="00000000" w:rsidR="00000000" w:rsidRPr="00000000">
              <w:rPr>
                <w:rtl w:val="0"/>
              </w:rPr>
              <w:t xml:space="preserve">Revue de la littérature sur l’usage des Learning Analytics dans les institutions d’enseignement supérieur</w:t>
            </w:r>
          </w:p>
        </w:tc>
        <w:tc>
          <w:tcPr/>
          <w:p w:rsidR="00000000" w:rsidDel="00000000" w:rsidP="00000000" w:rsidRDefault="00000000" w:rsidRPr="00000000" w14:paraId="00000066">
            <w:pPr>
              <w:spacing w:line="276" w:lineRule="auto"/>
              <w:rPr/>
            </w:pPr>
            <w:r w:rsidDel="00000000" w:rsidR="00000000" w:rsidRPr="00000000">
              <w:rPr>
                <w:rtl w:val="0"/>
              </w:rPr>
              <w:t xml:space="preserve">Sous-utilisation des Learning Analytics dans les institutions africaines</w:t>
            </w:r>
          </w:p>
        </w:tc>
      </w:tr>
      <w:tr>
        <w:trPr>
          <w:cantSplit w:val="0"/>
          <w:tblHeader w:val="0"/>
        </w:trPr>
        <w:tc>
          <w:tcPr/>
          <w:p w:rsidR="00000000" w:rsidDel="00000000" w:rsidP="00000000" w:rsidRDefault="00000000" w:rsidRPr="00000000" w14:paraId="00000067">
            <w:pPr>
              <w:spacing w:line="276" w:lineRule="auto"/>
              <w:rPr/>
            </w:pPr>
            <w:r w:rsidDel="00000000" w:rsidR="00000000" w:rsidRPr="00000000">
              <w:rPr>
                <w:rtl w:val="0"/>
              </w:rPr>
              <w:t xml:space="preserve">Oguine et al. (2022)</w:t>
            </w:r>
          </w:p>
        </w:tc>
        <w:tc>
          <w:tcPr/>
          <w:p w:rsidR="00000000" w:rsidDel="00000000" w:rsidP="00000000" w:rsidRDefault="00000000" w:rsidRPr="00000000" w14:paraId="00000068">
            <w:pPr>
              <w:spacing w:line="276" w:lineRule="auto"/>
              <w:rPr/>
            </w:pPr>
            <w:r w:rsidDel="00000000" w:rsidR="00000000" w:rsidRPr="00000000">
              <w:rPr>
                <w:rtl w:val="0"/>
              </w:rPr>
              <w:t xml:space="preserve">Article</w:t>
            </w:r>
          </w:p>
        </w:tc>
        <w:tc>
          <w:tcPr/>
          <w:p w:rsidR="00000000" w:rsidDel="00000000" w:rsidP="00000000" w:rsidRDefault="00000000" w:rsidRPr="00000000" w14:paraId="00000069">
            <w:pPr>
              <w:spacing w:line="276" w:lineRule="auto"/>
              <w:rPr/>
            </w:pPr>
            <w:r w:rsidDel="00000000" w:rsidR="00000000" w:rsidRPr="00000000">
              <w:rPr>
                <w:rtl w:val="0"/>
              </w:rPr>
              <w:t xml:space="preserve">Mise en œuvre de l'analyse de données massives pour prédire la performance des étudiants dans les institutions tertiaires au Nigéria</w:t>
            </w:r>
          </w:p>
        </w:tc>
        <w:tc>
          <w:tcPr/>
          <w:p w:rsidR="00000000" w:rsidDel="00000000" w:rsidP="00000000" w:rsidRDefault="00000000" w:rsidRPr="00000000" w14:paraId="0000006A">
            <w:pPr>
              <w:spacing w:line="276" w:lineRule="auto"/>
              <w:rPr/>
            </w:pPr>
            <w:r w:rsidDel="00000000" w:rsidR="00000000" w:rsidRPr="00000000">
              <w:rPr>
                <w:rtl w:val="0"/>
              </w:rPr>
              <w:t xml:space="preserve">Enquête par questionnaire auprès des institutions d’enseignement supérieur nigérianes</w:t>
            </w:r>
          </w:p>
        </w:tc>
        <w:tc>
          <w:tcPr/>
          <w:p w:rsidR="00000000" w:rsidDel="00000000" w:rsidP="00000000" w:rsidRDefault="00000000" w:rsidRPr="00000000" w14:paraId="0000006B">
            <w:pPr>
              <w:spacing w:line="276" w:lineRule="auto"/>
              <w:rPr/>
            </w:pPr>
            <w:r w:rsidDel="00000000" w:rsidR="00000000" w:rsidRPr="00000000">
              <w:rPr>
                <w:rtl w:val="0"/>
              </w:rPr>
              <w:t xml:space="preserve">Manque d’infrastructure technique et de formation spécialisée</w:t>
            </w:r>
          </w:p>
        </w:tc>
      </w:tr>
      <w:tr>
        <w:trPr>
          <w:cantSplit w:val="0"/>
          <w:tblHeader w:val="0"/>
        </w:trPr>
        <w:tc>
          <w:tcPr/>
          <w:p w:rsidR="00000000" w:rsidDel="00000000" w:rsidP="00000000" w:rsidRDefault="00000000" w:rsidRPr="00000000" w14:paraId="0000006C">
            <w:pPr>
              <w:spacing w:line="276" w:lineRule="auto"/>
              <w:rPr/>
            </w:pPr>
            <w:r w:rsidDel="00000000" w:rsidR="00000000" w:rsidRPr="00000000">
              <w:rPr>
                <w:rtl w:val="0"/>
              </w:rPr>
              <w:t xml:space="preserve">Khalaf Hamoud et al. (2021)</w:t>
            </w:r>
          </w:p>
        </w:tc>
        <w:tc>
          <w:tcPr/>
          <w:p w:rsidR="00000000" w:rsidDel="00000000" w:rsidP="00000000" w:rsidRDefault="00000000" w:rsidRPr="00000000" w14:paraId="0000006D">
            <w:pPr>
              <w:spacing w:line="276" w:lineRule="auto"/>
              <w:rPr/>
            </w:pPr>
            <w:r w:rsidDel="00000000" w:rsidR="00000000" w:rsidRPr="00000000">
              <w:rPr>
                <w:rtl w:val="0"/>
              </w:rPr>
              <w:t xml:space="preserve">Article</w:t>
            </w:r>
          </w:p>
        </w:tc>
        <w:tc>
          <w:tcPr/>
          <w:p w:rsidR="00000000" w:rsidDel="00000000" w:rsidP="00000000" w:rsidRDefault="00000000" w:rsidRPr="00000000" w14:paraId="0000006E">
            <w:pPr>
              <w:spacing w:line="276" w:lineRule="auto"/>
              <w:rPr/>
            </w:pPr>
            <w:r w:rsidDel="00000000" w:rsidR="00000000" w:rsidRPr="00000000">
              <w:rPr>
                <w:rtl w:val="0"/>
              </w:rPr>
              <w:t xml:space="preserve">Systèmes décisionnels éducatifs basés sur Datawarehouse et OLAP</w:t>
            </w:r>
          </w:p>
        </w:tc>
        <w:tc>
          <w:tcPr/>
          <w:p w:rsidR="00000000" w:rsidDel="00000000" w:rsidP="00000000" w:rsidRDefault="00000000" w:rsidRPr="00000000" w14:paraId="0000006F">
            <w:pPr>
              <w:spacing w:line="276" w:lineRule="auto"/>
              <w:rPr/>
            </w:pPr>
            <w:r w:rsidDel="00000000" w:rsidR="00000000" w:rsidRPr="00000000">
              <w:rPr>
                <w:rtl w:val="0"/>
              </w:rPr>
              <w:t xml:space="preserve">Mise en place d’un data mart éducatif combiné avec OLAP pour analyser les performances scolaires et fournir des tableaux de bord aux décideurs</w:t>
            </w:r>
          </w:p>
        </w:tc>
        <w:tc>
          <w:tcPr/>
          <w:p w:rsidR="00000000" w:rsidDel="00000000" w:rsidP="00000000" w:rsidRDefault="00000000" w:rsidRPr="00000000" w14:paraId="00000070">
            <w:pPr>
              <w:spacing w:line="276" w:lineRule="auto"/>
              <w:rPr/>
            </w:pPr>
            <w:r w:rsidDel="00000000" w:rsidR="00000000" w:rsidRPr="00000000">
              <w:rPr>
                <w:rtl w:val="0"/>
              </w:rPr>
              <w:t xml:space="preserve">Approche testée dans un contexte restreint → généralisation limitée</w:t>
            </w:r>
          </w:p>
        </w:tc>
      </w:tr>
      <w:tr>
        <w:trPr>
          <w:cantSplit w:val="0"/>
          <w:tblHeader w:val="0"/>
        </w:trPr>
        <w:tc>
          <w:tcPr/>
          <w:p w:rsidR="00000000" w:rsidDel="00000000" w:rsidP="00000000" w:rsidRDefault="00000000" w:rsidRPr="00000000" w14:paraId="00000071">
            <w:pPr>
              <w:spacing w:line="276" w:lineRule="auto"/>
              <w:rPr/>
            </w:pPr>
            <w:r w:rsidDel="00000000" w:rsidR="00000000" w:rsidRPr="00000000">
              <w:rPr>
                <w:rtl w:val="0"/>
              </w:rPr>
              <w:t xml:space="preserve">Kurniawan &amp; Erwin (2021)</w:t>
            </w:r>
          </w:p>
        </w:tc>
        <w:tc>
          <w:tcPr/>
          <w:p w:rsidR="00000000" w:rsidDel="00000000" w:rsidP="00000000" w:rsidRDefault="00000000" w:rsidRPr="00000000" w14:paraId="00000072">
            <w:pPr>
              <w:spacing w:line="276" w:lineRule="auto"/>
              <w:rPr/>
            </w:pPr>
            <w:r w:rsidDel="00000000" w:rsidR="00000000" w:rsidRPr="00000000">
              <w:rPr>
                <w:rtl w:val="0"/>
              </w:rPr>
              <w:t xml:space="preserve">Article</w:t>
            </w:r>
          </w:p>
        </w:tc>
        <w:tc>
          <w:tcPr/>
          <w:p w:rsidR="00000000" w:rsidDel="00000000" w:rsidP="00000000" w:rsidRDefault="00000000" w:rsidRPr="00000000" w14:paraId="00000073">
            <w:pPr>
              <w:spacing w:line="276" w:lineRule="auto"/>
              <w:rPr/>
            </w:pPr>
            <w:r w:rsidDel="00000000" w:rsidR="00000000" w:rsidRPr="00000000">
              <w:rPr>
                <w:rtl w:val="0"/>
              </w:rPr>
              <w:t xml:space="preserve">Combinaison Datawarehouse et Data Mining pour prédire la performance</w:t>
            </w:r>
          </w:p>
        </w:tc>
        <w:tc>
          <w:tcPr/>
          <w:p w:rsidR="00000000" w:rsidDel="00000000" w:rsidP="00000000" w:rsidRDefault="00000000" w:rsidRPr="00000000" w14:paraId="00000074">
            <w:pPr>
              <w:spacing w:line="276" w:lineRule="auto"/>
              <w:rPr/>
            </w:pPr>
            <w:r w:rsidDel="00000000" w:rsidR="00000000" w:rsidRPr="00000000">
              <w:rPr>
                <w:rtl w:val="0"/>
              </w:rPr>
              <w:t xml:space="preserve">Schéma en étoile (Kimball) + arbres de décision appliqués aux données scolaires historiques</w:t>
            </w:r>
          </w:p>
        </w:tc>
        <w:tc>
          <w:tcPr/>
          <w:p w:rsidR="00000000" w:rsidDel="00000000" w:rsidP="00000000" w:rsidRDefault="00000000" w:rsidRPr="00000000" w14:paraId="00000075">
            <w:pPr>
              <w:spacing w:line="276" w:lineRule="auto"/>
              <w:rPr/>
            </w:pPr>
            <w:r w:rsidDel="00000000" w:rsidR="00000000" w:rsidRPr="00000000">
              <w:rPr>
                <w:rtl w:val="0"/>
              </w:rPr>
              <w:t xml:space="preserve">Dépendance à la qualité et à la complétude des données collectées</w:t>
            </w:r>
          </w:p>
        </w:tc>
      </w:tr>
    </w:tbl>
    <w:p w:rsidR="00000000" w:rsidDel="00000000" w:rsidP="00000000" w:rsidRDefault="00000000" w:rsidRPr="00000000" w14:paraId="00000076">
      <w:pPr>
        <w:ind w:left="360" w:firstLine="0"/>
        <w:rPr>
          <w:b w:val="1"/>
          <w:u w:val="single"/>
        </w:rPr>
      </w:pPr>
      <w:r w:rsidDel="00000000" w:rsidR="00000000" w:rsidRPr="00000000">
        <w:rPr>
          <w:rtl w:val="0"/>
        </w:rPr>
      </w:r>
    </w:p>
    <w:p w:rsidR="00000000" w:rsidDel="00000000" w:rsidP="00000000" w:rsidRDefault="00000000" w:rsidRPr="00000000" w14:paraId="00000077">
      <w:pPr>
        <w:ind w:left="360" w:firstLine="0"/>
        <w:rPr>
          <w:b w:val="1"/>
          <w:u w:val="single"/>
        </w:rPr>
      </w:pPr>
      <w:r w:rsidDel="00000000" w:rsidR="00000000" w:rsidRPr="00000000">
        <w:rPr>
          <w:rtl w:val="0"/>
        </w:rPr>
      </w:r>
    </w:p>
    <w:p w:rsidR="00000000" w:rsidDel="00000000" w:rsidP="00000000" w:rsidRDefault="00000000" w:rsidRPr="00000000" w14:paraId="00000078">
      <w:pPr>
        <w:ind w:left="360" w:firstLine="0"/>
        <w:rPr>
          <w:b w:val="1"/>
          <w:u w:val="single"/>
        </w:rPr>
      </w:pPr>
      <w:r w:rsidDel="00000000" w:rsidR="00000000" w:rsidRPr="00000000">
        <w:rPr>
          <w:rtl w:val="0"/>
        </w:rPr>
      </w:r>
    </w:p>
    <w:p w:rsidR="00000000" w:rsidDel="00000000" w:rsidP="00000000" w:rsidRDefault="00000000" w:rsidRPr="00000000" w14:paraId="00000079">
      <w:pPr>
        <w:ind w:left="360" w:firstLine="0"/>
        <w:rPr>
          <w:b w:val="1"/>
          <w:u w:val="single"/>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6. POSITIONNEMENT DU PROJET</w:t>
      </w:r>
    </w:p>
    <w:p w:rsidR="00000000" w:rsidDel="00000000" w:rsidP="00000000" w:rsidRDefault="00000000" w:rsidRPr="00000000" w14:paraId="0000007B">
      <w:pPr>
        <w:ind w:left="360" w:firstLine="0"/>
        <w:rPr>
          <w:b w:val="1"/>
          <w:u w:val="single"/>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Les recherches existantes sur les systèmes décisionnels éducatifs et l’analyse prédictive de la performance académique ont démontré l’efficacité des approches basées sur le </w:t>
      </w:r>
      <w:r w:rsidDel="00000000" w:rsidR="00000000" w:rsidRPr="00000000">
        <w:rPr>
          <w:b w:val="1"/>
          <w:rtl w:val="0"/>
        </w:rPr>
        <w:t xml:space="preserve">Datawarehouse</w:t>
      </w:r>
      <w:r w:rsidDel="00000000" w:rsidR="00000000" w:rsidRPr="00000000">
        <w:rPr>
          <w:rtl w:val="0"/>
        </w:rPr>
        <w:t xml:space="preserve">, les </w:t>
      </w:r>
      <w:r w:rsidDel="00000000" w:rsidR="00000000" w:rsidRPr="00000000">
        <w:rPr>
          <w:b w:val="1"/>
          <w:rtl w:val="0"/>
        </w:rPr>
        <w:t xml:space="preserve">arbres de décision</w:t>
      </w:r>
      <w:r w:rsidDel="00000000" w:rsidR="00000000" w:rsidRPr="00000000">
        <w:rPr>
          <w:rtl w:val="0"/>
        </w:rPr>
        <w:t xml:space="preserve"> et les </w:t>
      </w:r>
      <w:r w:rsidDel="00000000" w:rsidR="00000000" w:rsidRPr="00000000">
        <w:rPr>
          <w:b w:val="1"/>
          <w:rtl w:val="0"/>
        </w:rPr>
        <w:t xml:space="preserve">Learning Analytics</w:t>
      </w:r>
      <w:r w:rsidDel="00000000" w:rsidR="00000000" w:rsidRPr="00000000">
        <w:rPr>
          <w:rtl w:val="0"/>
        </w:rPr>
        <w:t xml:space="preserve"> pour améliorer la prise de décision dans le domaine de l’éducation. Des travaux tels que ceux de Khalaf Hamoud et al. (2021), Kurniawan &amp; Halim (2021), Molokeng (2021), Ogundaini &amp; Mlitwa (2023) et Oguine et al. (2022) ont montré que ces outils permettent de centraliser et d’analyser les données scolaires, de détecter les étudiants à risque et de produire des indicateurs clairs pour les responsables académiques. Cependant, ces études restent souvent limitées à des contextes spécifiques, à un nombre restreint d’institutions, ou à des universités, et rencontrent des contraintes telles que la qualité des données, l’infrastructure technique ou le manque de suivi longitudinal.</w:t>
      </w:r>
    </w:p>
    <w:p w:rsidR="00000000" w:rsidDel="00000000" w:rsidP="00000000" w:rsidRDefault="00000000" w:rsidRPr="00000000" w14:paraId="0000007D">
      <w:pPr>
        <w:ind w:left="720" w:firstLine="0"/>
        <w:rPr/>
      </w:pPr>
      <w:r w:rsidDel="00000000" w:rsidR="00000000" w:rsidRPr="00000000">
        <w:rPr>
          <w:rtl w:val="0"/>
        </w:rPr>
        <w:t xml:space="preserve">Le projet présenté dans ce mémoire se situe dans cette continuité tout en se distinguant par son contexte national en République Démocratique du Congo et son orientation vers les examens d’État. Il vise à développer un outil d’aide à la décision basé sur le Datawarehouse et l’arbre de décision afin de soutenir l’amélioration de l’éducation nationale. Contrairement aux recherches précédentes, ce projet propose une approche opérationnelle et à grande échelle, capable de fournir des informations stratégiques pour identifier les filières ou zones à risque, optimiser les interventions pédagogiques et appuyer les décideurs dans la planification éducative.</w:t>
      </w:r>
    </w:p>
    <w:p w:rsidR="00000000" w:rsidDel="00000000" w:rsidP="00000000" w:rsidRDefault="00000000" w:rsidRPr="00000000" w14:paraId="0000007E">
      <w:pPr>
        <w:ind w:left="720" w:firstLine="0"/>
        <w:rPr/>
      </w:pPr>
      <w:r w:rsidDel="00000000" w:rsidR="00000000" w:rsidRPr="00000000">
        <w:rPr>
          <w:rtl w:val="0"/>
        </w:rPr>
        <w:t xml:space="preserve">En résumé, ce projet renforce et étend l’état de l’art en combinant des méthodes analytiques éprouvées avec une application concrète pour le système éducatif national en RDC, offrant ainsi un outil pratique pour une meilleure gestion et amélioration de la performance scolaire.</w:t>
      </w:r>
    </w:p>
    <w:p w:rsidR="00000000" w:rsidDel="00000000" w:rsidP="00000000" w:rsidRDefault="00000000" w:rsidRPr="00000000" w14:paraId="0000007F">
      <w:pPr>
        <w:rPr>
          <w:b w:val="1"/>
          <w:u w:val="single"/>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Khalaf Hamoud et al. (2021).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Implementing data-driven decision support system based on independent educational data mart.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International Journal of Electrical and Computer Engineering (IJECE), 11(5), 4517-4525.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84">
      <w:pPr>
        <w:spacing w:line="240" w:lineRule="auto"/>
        <w:rPr>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4"/>
          <w:szCs w:val="24"/>
          <w:rtl w:val="0"/>
        </w:rPr>
        <w:t xml:space="preserve">Kurniawan &amp; Halim (2021). </w:t>
      </w:r>
      <w:r w:rsidDel="00000000" w:rsidR="00000000" w:rsidRPr="00000000">
        <w:rPr>
          <w:i w:val="1"/>
          <w:sz w:val="24"/>
          <w:szCs w:val="24"/>
          <w:rtl w:val="0"/>
        </w:rPr>
        <w:t xml:space="preserve">Use data warehouse and data mining to predict student academic performance in schools: A case study.</w:t>
      </w:r>
      <w:r w:rsidDel="00000000" w:rsidR="00000000" w:rsidRPr="00000000">
        <w:rPr>
          <w:rtl w:val="0"/>
        </w:rPr>
      </w:r>
    </w:p>
  </w:footnote>
  <w:footnote w:id="2">
    <w:p w:rsidR="00000000" w:rsidDel="00000000" w:rsidP="00000000" w:rsidRDefault="00000000" w:rsidRPr="00000000" w14:paraId="00000085">
      <w:pPr>
        <w:spacing w:line="240" w:lineRule="auto"/>
        <w:rPr>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4"/>
          <w:szCs w:val="24"/>
          <w:rtl w:val="0"/>
        </w:rPr>
        <w:t xml:space="preserve">Molokeng, P.M. (2021). </w:t>
      </w:r>
      <w:r w:rsidDel="00000000" w:rsidR="00000000" w:rsidRPr="00000000">
        <w:rPr>
          <w:i w:val="1"/>
          <w:sz w:val="24"/>
          <w:szCs w:val="24"/>
          <w:rtl w:val="0"/>
        </w:rPr>
        <w:t xml:space="preserve">Investigation into the use of learning analytics in online learning at South Africa's higher education institutions.</w:t>
      </w:r>
      <w:r w:rsidDel="00000000" w:rsidR="00000000" w:rsidRPr="00000000">
        <w:rPr>
          <w:sz w:val="24"/>
          <w:szCs w:val="24"/>
          <w:rtl w:val="0"/>
        </w:rPr>
        <w:t xml:space="preserve"> University of Cape Town.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Ogundaini &amp; Mlitwa (2023).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Learning analytics as a transformation tool in higher education of Sub-Saharan Africa: A literature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EDULEARN23 Proceedings, 471-478.</w:t>
      </w:r>
      <w:r w:rsidDel="00000000" w:rsidR="00000000" w:rsidRPr="00000000">
        <w:rPr>
          <w:rtl w:val="0"/>
        </w:rPr>
      </w:r>
    </w:p>
  </w:footnote>
  <w:footnote w:id="4">
    <w:p w:rsidR="00000000" w:rsidDel="00000000" w:rsidP="00000000" w:rsidRDefault="00000000" w:rsidRPr="00000000" w14:paraId="00000088">
      <w:pPr>
        <w:spacing w:after="280" w:line="240" w:lineRule="auto"/>
        <w:rPr>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4"/>
          <w:szCs w:val="24"/>
          <w:rtl w:val="0"/>
        </w:rPr>
        <w:t xml:space="preserve">: Oguine, O.C., Oguine, K.J., &amp; Bisallah, H.I. (2022). </w:t>
      </w:r>
      <w:r w:rsidDel="00000000" w:rsidR="00000000" w:rsidRPr="00000000">
        <w:rPr>
          <w:i w:val="1"/>
          <w:sz w:val="24"/>
          <w:szCs w:val="24"/>
          <w:rtl w:val="0"/>
        </w:rPr>
        <w:t xml:space="preserve">Big Data and Analytics Implementation in Tertiary Institutions to Predict Students Performance in Nigeria.</w:t>
      </w:r>
      <w:r w:rsidDel="00000000" w:rsidR="00000000" w:rsidRPr="00000000">
        <w:rPr>
          <w:sz w:val="24"/>
          <w:szCs w:val="24"/>
          <w:rtl w:val="0"/>
        </w:rPr>
        <w:t xml:space="preserve"> arXiv.</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