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调用已备案生成式人工智能大模型情况说明</w:t>
      </w:r>
    </w:p>
    <w:p>
      <w:r>
        <w:rPr>
          <w:rFonts w:ascii="宋体" w:hAnsi="宋体" w:eastAsia="宋体"/>
          <w:b/>
        </w:rPr>
        <w:t>主体名称：</w:t>
      </w:r>
      <w:r>
        <w:rPr>
          <w:rFonts w:ascii="宋体" w:hAnsi="宋体" w:eastAsia="宋体"/>
        </w:rPr>
        <w:t>温州灵祺智能科技有限公司</w:t>
      </w:r>
    </w:p>
    <w:p>
      <w:r>
        <w:rPr>
          <w:rFonts w:ascii="宋体" w:hAnsi="宋体" w:eastAsia="宋体"/>
          <w:b/>
        </w:rPr>
        <w:t>统一社会信用代码：</w:t>
      </w:r>
      <w:r>
        <w:rPr>
          <w:rFonts w:ascii="宋体" w:hAnsi="宋体" w:eastAsia="宋体"/>
        </w:rPr>
        <w:t>【请填写统一社会信用代码】</w:t>
      </w:r>
    </w:p>
    <w:p>
      <w:r>
        <w:rPr>
          <w:rFonts w:ascii="宋体" w:hAnsi="宋体" w:eastAsia="宋体"/>
          <w:b/>
        </w:rPr>
        <w:t>产品名称：</w:t>
      </w:r>
      <w:r>
        <w:rPr>
          <w:rFonts w:ascii="宋体" w:hAnsi="宋体" w:eastAsia="宋体"/>
        </w:rPr>
        <w:t>灵祺AI智能ERP、灵祺星选达人撮合平台及相关小程序</w:t>
      </w:r>
    </w:p>
    <w:p>
      <w:r>
        <w:rPr>
          <w:rFonts w:ascii="黑体" w:hAnsi="黑体" w:eastAsia="黑体"/>
          <w:b/>
          <w:sz w:val="28"/>
        </w:rPr>
        <w:t>一、调用方式与承诺</w:t>
      </w:r>
    </w:p>
    <w:p>
      <w:pPr>
        <w:ind w:firstLine="420"/>
      </w:pPr>
      <w:r>
        <w:rPr>
          <w:rFonts w:ascii="宋体" w:hAnsi="宋体" w:eastAsia="宋体"/>
          <w:sz w:val="24"/>
        </w:rPr>
        <w:t>本公司通过云厂商开放的 API/SDK，调用境内已依法完成备案的生成式人工智能大模型及音视频合成能力，用于本地生活经营辅助与内容生产。用户输入经必要脱敏与过滤后发送至接口；模型输出经产品侧预览、人工确认及合规检核后，由用户决定是否采用或发布。本公司不保存用户输入用于训练自有大模型，不向境外传输用于模型训练的数据。</w:t>
      </w:r>
    </w:p>
    <w:p>
      <w:pPr>
        <w:ind w:firstLine="420"/>
      </w:pPr>
      <w:r>
        <w:rPr>
          <w:rFonts w:ascii="宋体" w:hAnsi="宋体" w:eastAsia="宋体"/>
          <w:sz w:val="24"/>
        </w:rPr>
        <w:t>本公司郑重承诺：本服务仅调用已备案模型能力，未进行自主训练、未深度微调、未二次蒸馏。底层模型安全能力依赖模型提供方；本公司负责应用层输入输出治理、标识与人工复核。</w:t>
      </w:r>
    </w:p>
    <w:p>
      <w:r>
        <w:rPr>
          <w:rFonts w:ascii="黑体" w:hAnsi="黑体" w:eastAsia="黑体"/>
          <w:b/>
          <w:sz w:val="28"/>
        </w:rPr>
        <w:t>二、所调用模型清单</w:t>
      </w:r>
    </w:p>
    <w:p>
      <w:r>
        <w:rPr>
          <w:rFonts w:ascii="黑体" w:hAnsi="黑体" w:eastAsia="黑体"/>
          <w:b/>
          <w:sz w:val="28"/>
        </w:rPr>
        <w:t>（1）豆包大模型（火山引擎/字节跳动开放平台 API）</w:t>
      </w:r>
    </w:p>
    <w:p>
      <w:r>
        <w:rPr>
          <w:rFonts w:ascii="宋体" w:hAnsi="宋体" w:eastAsia="宋体"/>
          <w:b/>
        </w:rPr>
        <w:t>提供方：</w:t>
      </w:r>
      <w:r>
        <w:rPr>
          <w:rFonts w:ascii="宋体" w:hAnsi="宋体" w:eastAsia="宋体"/>
        </w:rPr>
        <w:t>北京火山引擎科技有限公司等相关主体</w:t>
      </w:r>
    </w:p>
    <w:p>
      <w:r>
        <w:rPr>
          <w:rFonts w:ascii="宋体" w:hAnsi="宋体" w:eastAsia="宋体"/>
          <w:b/>
        </w:rPr>
        <w:t>模型备案/上线信息：</w:t>
      </w:r>
      <w:r>
        <w:rPr>
          <w:rFonts w:ascii="宋体" w:hAnsi="宋体" w:eastAsia="宋体"/>
        </w:rPr>
        <w:t>Beijing-YunQue-20230821 等（以厂商公示为准）</w:t>
      </w:r>
    </w:p>
    <w:p>
      <w:r>
        <w:rPr>
          <w:rFonts w:ascii="宋体" w:hAnsi="宋体" w:eastAsia="宋体"/>
          <w:b/>
        </w:rPr>
        <w:t>相关算法备案号：</w:t>
      </w:r>
      <w:r>
        <w:rPr>
          <w:rFonts w:ascii="宋体" w:hAnsi="宋体" w:eastAsia="宋体"/>
        </w:rPr>
        <w:t>网信算备110108823483901230031号（豆包大模型算法，以厂商公示为准）</w:t>
      </w:r>
    </w:p>
    <w:p>
      <w:r>
        <w:rPr>
          <w:rFonts w:ascii="宋体" w:hAnsi="宋体" w:eastAsia="宋体"/>
          <w:b/>
        </w:rPr>
        <w:t>在本产品中的用途：</w:t>
      </w:r>
      <w:r>
        <w:rPr>
          <w:rFonts w:ascii="宋体" w:hAnsi="宋体" w:eastAsia="宋体"/>
        </w:rPr>
        <w:t>文本对话、经营建议、组品方案、招募Brief、文案生成等</w:t>
      </w:r>
    </w:p>
    <w:p>
      <w:r>
        <w:rPr>
          <w:rFonts w:ascii="宋体" w:hAnsi="宋体" w:eastAsia="宋体"/>
          <w:sz w:val="24"/>
        </w:rPr>
        <w:t>注：上述编号摘自厂商公开公示页面，提交前请登录厂商合规页与国家网信办公示名单核对最新编号，并以合同/开通后台截图作为调用合规证明附件。</w:t>
      </w:r>
    </w:p>
    <w:p>
      <w:r>
        <w:rPr>
          <w:rFonts w:ascii="黑体" w:hAnsi="黑体" w:eastAsia="黑体"/>
          <w:b/>
          <w:sz w:val="28"/>
        </w:rPr>
        <w:t>（2）通义千问大模型（阿里云百炼/DashScope API）</w:t>
      </w:r>
    </w:p>
    <w:p>
      <w:r>
        <w:rPr>
          <w:rFonts w:ascii="宋体" w:hAnsi="宋体" w:eastAsia="宋体"/>
          <w:b/>
        </w:rPr>
        <w:t>提供方：</w:t>
      </w:r>
      <w:r>
        <w:rPr>
          <w:rFonts w:ascii="宋体" w:hAnsi="宋体" w:eastAsia="宋体"/>
        </w:rPr>
        <w:t>阿里巴巴达摩院（杭州）科技有限公司等相关主体</w:t>
      </w:r>
    </w:p>
    <w:p>
      <w:r>
        <w:rPr>
          <w:rFonts w:ascii="宋体" w:hAnsi="宋体" w:eastAsia="宋体"/>
          <w:b/>
        </w:rPr>
        <w:t>模型备案/上线信息：</w:t>
      </w:r>
      <w:r>
        <w:rPr>
          <w:rFonts w:ascii="宋体" w:hAnsi="宋体" w:eastAsia="宋体"/>
        </w:rPr>
        <w:t>ZheJiang-TongYiQianWen-20230901（以厂商公示为准）</w:t>
      </w:r>
    </w:p>
    <w:p>
      <w:r>
        <w:rPr>
          <w:rFonts w:ascii="宋体" w:hAnsi="宋体" w:eastAsia="宋体"/>
          <w:b/>
        </w:rPr>
        <w:t>相关算法备案号：</w:t>
      </w:r>
      <w:r>
        <w:rPr>
          <w:rFonts w:ascii="宋体" w:hAnsi="宋体" w:eastAsia="宋体"/>
        </w:rPr>
        <w:t>网信算备330110507206401230035号（达摩院交互式多能型合成算法，以厂商公示为准）</w:t>
      </w:r>
    </w:p>
    <w:p>
      <w:r>
        <w:rPr>
          <w:rFonts w:ascii="宋体" w:hAnsi="宋体" w:eastAsia="宋体"/>
          <w:b/>
        </w:rPr>
        <w:t>在本产品中的用途：</w:t>
      </w:r>
      <w:r>
        <w:rPr>
          <w:rFonts w:ascii="宋体" w:hAnsi="宋体" w:eastAsia="宋体"/>
        </w:rPr>
        <w:t>文本对话、内容生成、多模态辅助等</w:t>
      </w:r>
    </w:p>
    <w:p>
      <w:r>
        <w:rPr>
          <w:rFonts w:ascii="宋体" w:hAnsi="宋体" w:eastAsia="宋体"/>
          <w:sz w:val="24"/>
        </w:rPr>
        <w:t>注：上述编号摘自厂商公开公示页面，提交前请登录厂商合规页与国家网信办公示名单核对最新编号，并以合同/开通后台截图作为调用合规证明附件。</w:t>
      </w:r>
    </w:p>
    <w:p>
      <w:r>
        <w:rPr>
          <w:rFonts w:ascii="黑体" w:hAnsi="黑体" w:eastAsia="黑体"/>
          <w:b/>
          <w:sz w:val="28"/>
        </w:rPr>
        <w:t>（3）云剪辑/数字人/TTS 等音视频合成能力（阿里云 ICE 等）</w:t>
      </w:r>
    </w:p>
    <w:p>
      <w:r>
        <w:rPr>
          <w:rFonts w:ascii="宋体" w:hAnsi="宋体" w:eastAsia="宋体"/>
          <w:b/>
        </w:rPr>
        <w:t>提供方：</w:t>
      </w:r>
      <w:r>
        <w:rPr>
          <w:rFonts w:ascii="宋体" w:hAnsi="宋体" w:eastAsia="宋体"/>
        </w:rPr>
        <w:t>阿里云计算有限公司等相关主体</w:t>
      </w:r>
    </w:p>
    <w:p>
      <w:r>
        <w:rPr>
          <w:rFonts w:ascii="宋体" w:hAnsi="宋体" w:eastAsia="宋体"/>
          <w:b/>
        </w:rPr>
        <w:t>模型备案/上线信息：</w:t>
      </w:r>
      <w:r>
        <w:rPr>
          <w:rFonts w:ascii="宋体" w:hAnsi="宋体" w:eastAsia="宋体"/>
        </w:rPr>
        <w:t>按所用具体能力对应厂商已备案/登记信息填写</w:t>
      </w:r>
    </w:p>
    <w:p>
      <w:r>
        <w:rPr>
          <w:rFonts w:ascii="宋体" w:hAnsi="宋体" w:eastAsia="宋体"/>
          <w:b/>
        </w:rPr>
        <w:t>相关算法备案号：</w:t>
      </w:r>
      <w:r>
        <w:rPr>
          <w:rFonts w:ascii="宋体" w:hAnsi="宋体" w:eastAsia="宋体"/>
        </w:rPr>
        <w:t>按所用具体算法备案号填写（如通义万相等，以合同与公示为准）</w:t>
      </w:r>
    </w:p>
    <w:p>
      <w:r>
        <w:rPr>
          <w:rFonts w:ascii="宋体" w:hAnsi="宋体" w:eastAsia="宋体"/>
          <w:b/>
        </w:rPr>
        <w:t>在本产品中的用途：</w:t>
      </w:r>
      <w:r>
        <w:rPr>
          <w:rFonts w:ascii="宋体" w:hAnsi="宋体" w:eastAsia="宋体"/>
        </w:rPr>
        <w:t>短视频云剪、数字人口播、语音合成配音</w:t>
      </w:r>
    </w:p>
    <w:p>
      <w:r>
        <w:rPr>
          <w:rFonts w:ascii="宋体" w:hAnsi="宋体" w:eastAsia="宋体"/>
          <w:sz w:val="24"/>
        </w:rPr>
        <w:t>注：上述编号摘自厂商公开公示页面，提交前请登录厂商合规页与国家网信办公示名单核对最新编号，并以合同/开通后台截图作为调用合规证明附件。</w:t>
      </w:r>
    </w:p>
    <w:p>
      <w:r>
        <w:rPr>
          <w:rFonts w:ascii="黑体" w:hAnsi="黑体" w:eastAsia="黑体"/>
          <w:b/>
          <w:sz w:val="28"/>
        </w:rPr>
        <w:t>三、数据流向</w:t>
      </w:r>
    </w:p>
    <w:p>
      <w:pPr>
        <w:pStyle w:val="ListBullet"/>
      </w:pPr>
      <w:r>
        <w:rPr>
          <w:rFonts w:ascii="宋体" w:hAnsi="宋体" w:eastAsia="宋体"/>
          <w:sz w:val="24"/>
        </w:rPr>
        <w:t>用户经实名/登录后在 ERP 或小程序内发起请求；</w:t>
      </w:r>
    </w:p>
    <w:p>
      <w:pPr>
        <w:pStyle w:val="ListBullet"/>
      </w:pPr>
      <w:r>
        <w:rPr>
          <w:rFonts w:ascii="宋体" w:hAnsi="宋体" w:eastAsia="宋体"/>
          <w:sz w:val="24"/>
        </w:rPr>
        <w:t>业务系统组装提示词（可含脱敏后的门店/商品/招募上下文）；</w:t>
      </w:r>
    </w:p>
    <w:p>
      <w:pPr>
        <w:pStyle w:val="ListBullet"/>
      </w:pPr>
      <w:r>
        <w:rPr>
          <w:rFonts w:ascii="宋体" w:hAnsi="宋体" w:eastAsia="宋体"/>
          <w:sz w:val="24"/>
        </w:rPr>
        <w:t>经 HTTPS 调用境内云厂商 API；</w:t>
      </w:r>
    </w:p>
    <w:p>
      <w:pPr>
        <w:pStyle w:val="ListBullet"/>
      </w:pPr>
      <w:r>
        <w:rPr>
          <w:rFonts w:ascii="宋体" w:hAnsi="宋体" w:eastAsia="宋体"/>
          <w:sz w:val="24"/>
        </w:rPr>
        <w:t>返回结果在产品内预览展示，用户确认后方可写入业务库或导出发布；</w:t>
      </w:r>
    </w:p>
    <w:p>
      <w:pPr>
        <w:pStyle w:val="ListBullet"/>
      </w:pPr>
      <w:r>
        <w:rPr>
          <w:rFonts w:ascii="宋体" w:hAnsi="宋体" w:eastAsia="宋体"/>
          <w:sz w:val="24"/>
        </w:rPr>
        <w:t>日志按最小必要原则留存，用于审计、客服与安全处置。</w:t>
      </w:r>
    </w:p>
    <w:p>
      <w:r>
        <w:rPr>
          <w:rFonts w:ascii="黑体" w:hAnsi="黑体" w:eastAsia="黑体"/>
          <w:b/>
          <w:sz w:val="28"/>
        </w:rPr>
        <w:t>四、附件</w:t>
      </w:r>
    </w:p>
    <w:p>
      <w:r>
        <w:rPr>
          <w:rFonts w:ascii="宋体" w:hAnsi="宋体" w:eastAsia="宋体"/>
          <w:sz w:val="24"/>
        </w:rPr>
        <w:t>1. 云厂商 API 开通/合同/账单或控制台截图；</w:t>
      </w:r>
    </w:p>
    <w:p>
      <w:r>
        <w:rPr>
          <w:rFonts w:ascii="宋体" w:hAnsi="宋体" w:eastAsia="宋体"/>
          <w:sz w:val="24"/>
        </w:rPr>
        <w:t>2. 厂商算法/模型备案公示截图；</w:t>
      </w:r>
    </w:p>
    <w:p>
      <w:r>
        <w:rPr>
          <w:rFonts w:ascii="宋体" w:hAnsi="宋体" w:eastAsia="宋体"/>
          <w:sz w:val="24"/>
        </w:rPr>
        <w:t>3. 本公司算法备案提交截图（如有）。</w:t>
      </w:r>
    </w:p>
    <w:p/>
    <w:p>
      <w:r>
        <w:rPr>
          <w:rFonts w:ascii="宋体" w:hAnsi="宋体" w:eastAsia="宋体"/>
          <w:sz w:val="24"/>
        </w:rPr>
        <w:t>主体名称：温州灵祺智能科技有限公司</w:t>
      </w:r>
    </w:p>
    <w:p>
      <w:r>
        <w:rPr>
          <w:rFonts w:ascii="宋体" w:hAnsi="宋体" w:eastAsia="宋体"/>
          <w:sz w:val="24"/>
        </w:rPr>
        <w:t>（盖章）</w:t>
      </w:r>
    </w:p>
    <w:p>
      <w:r>
        <w:rPr>
          <w:rFonts w:ascii="宋体" w:hAnsi="宋体" w:eastAsia="宋体"/>
          <w:sz w:val="24"/>
        </w:rPr>
        <w:t>法定代表人 / 授权代表签字：_______________</w:t>
      </w:r>
    </w:p>
    <w:p>
      <w:r>
        <w:rPr>
          <w:rFonts w:ascii="宋体" w:hAnsi="宋体" w:eastAsia="宋体"/>
          <w:sz w:val="24"/>
        </w:rPr>
        <w:t>日期：2026年07月29日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