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生成式人工智能内容安全管理制度</w:t>
      </w:r>
    </w:p>
    <w:p>
      <w:r>
        <w:rPr>
          <w:rFonts w:ascii="宋体" w:hAnsi="宋体" w:eastAsia="宋体"/>
          <w:sz w:val="24"/>
        </w:rPr>
        <w:t>制定单位：温州灵祺智能科技有限公司</w:t>
      </w:r>
    </w:p>
    <w:p>
      <w:r>
        <w:rPr>
          <w:rFonts w:ascii="宋体" w:hAnsi="宋体" w:eastAsia="宋体"/>
          <w:sz w:val="24"/>
        </w:rPr>
        <w:t>生效日期：2026年07月29日</w:t>
      </w:r>
    </w:p>
    <w:p>
      <w:r>
        <w:rPr>
          <w:rFonts w:ascii="黑体" w:hAnsi="黑体" w:eastAsia="黑体"/>
          <w:b/>
          <w:sz w:val="28"/>
        </w:rPr>
        <w:t>第一条 目的</w:t>
      </w:r>
    </w:p>
    <w:p>
      <w:pPr>
        <w:ind w:firstLine="420"/>
      </w:pPr>
      <w:r>
        <w:rPr>
          <w:rFonts w:ascii="宋体" w:hAnsi="宋体" w:eastAsia="宋体"/>
          <w:sz w:val="24"/>
        </w:rPr>
        <w:t>为规范本公司生成式人工智能服务的内容安全与个人信息保护，落实《生成式人工智能服务管理暂行办法》等要求，制定本制度。</w:t>
      </w:r>
    </w:p>
    <w:p>
      <w:r>
        <w:rPr>
          <w:rFonts w:ascii="黑体" w:hAnsi="黑体" w:eastAsia="黑体"/>
          <w:b/>
          <w:sz w:val="28"/>
        </w:rPr>
        <w:t>第二条 适用范围</w:t>
      </w:r>
    </w:p>
    <w:p>
      <w:pPr>
        <w:ind w:firstLine="420"/>
      </w:pPr>
      <w:r>
        <w:rPr>
          <w:rFonts w:ascii="宋体" w:hAnsi="宋体" w:eastAsia="宋体"/>
          <w:sz w:val="24"/>
        </w:rPr>
        <w:t>适用于灵祺AI智能ERP、灵祺星选及相关小程序中，基于大模型或云剪辑/数字人能力提供的文本、图像、音频、视频生成合成功能。</w:t>
      </w:r>
    </w:p>
    <w:p>
      <w:r>
        <w:rPr>
          <w:rFonts w:ascii="黑体" w:hAnsi="黑体" w:eastAsia="黑体"/>
          <w:b/>
          <w:sz w:val="28"/>
        </w:rPr>
        <w:t>第三条 组织职责</w:t>
      </w:r>
    </w:p>
    <w:p>
      <w:pPr>
        <w:ind w:firstLine="420"/>
      </w:pPr>
      <w:r>
        <w:rPr>
          <w:rFonts w:ascii="宋体" w:hAnsi="宋体" w:eastAsia="宋体"/>
          <w:sz w:val="24"/>
        </w:rPr>
        <w:t>法定代表人统筹安全责任；网络安全/算法安全负责人（【请填写网络安全/算法安全负责人姓名】）负责日常监测、事件处置与配合监管检查；产品与研发负责技术措施落地；客服负责投诉受理与流转。</w:t>
      </w:r>
    </w:p>
    <w:p>
      <w:r>
        <w:rPr>
          <w:rFonts w:ascii="黑体" w:hAnsi="黑体" w:eastAsia="黑体"/>
          <w:b/>
          <w:sz w:val="28"/>
        </w:rPr>
        <w:t>第四条 输入策略</w:t>
      </w:r>
    </w:p>
    <w:p>
      <w:pPr>
        <w:pStyle w:val="ListBullet"/>
      </w:pPr>
      <w:r>
        <w:rPr>
          <w:rFonts w:ascii="宋体" w:hAnsi="宋体" w:eastAsia="宋体"/>
          <w:sz w:val="24"/>
        </w:rPr>
        <w:t>对用户输入进行长度限制、敏感词过滤与必要脱敏；</w:t>
      </w:r>
    </w:p>
    <w:p>
      <w:pPr>
        <w:pStyle w:val="ListBullet"/>
      </w:pPr>
      <w:r>
        <w:rPr>
          <w:rFonts w:ascii="宋体" w:hAnsi="宋体" w:eastAsia="宋体"/>
          <w:sz w:val="24"/>
        </w:rPr>
        <w:t>禁止诱导生成违法不良信息、侵害他人权益或深度伪造他人身份的指令；</w:t>
      </w:r>
    </w:p>
    <w:p>
      <w:pPr>
        <w:pStyle w:val="ListBullet"/>
      </w:pPr>
      <w:r>
        <w:rPr>
          <w:rFonts w:ascii="宋体" w:hAnsi="宋体" w:eastAsia="宋体"/>
          <w:sz w:val="24"/>
        </w:rPr>
        <w:t>不采集用户声纹用于克隆；数字人使用商用预设音色/形象。</w:t>
      </w:r>
    </w:p>
    <w:p>
      <w:r>
        <w:rPr>
          <w:rFonts w:ascii="黑体" w:hAnsi="黑体" w:eastAsia="黑体"/>
          <w:b/>
          <w:sz w:val="28"/>
        </w:rPr>
        <w:t>第五条 输出策略</w:t>
      </w:r>
    </w:p>
    <w:p>
      <w:pPr>
        <w:pStyle w:val="ListBullet"/>
      </w:pPr>
      <w:r>
        <w:rPr>
          <w:rFonts w:ascii="宋体" w:hAnsi="宋体" w:eastAsia="宋体"/>
          <w:sz w:val="24"/>
        </w:rPr>
        <w:t>对输出进行关键词/规则拦截，必要时二次调用安全策略；</w:t>
      </w:r>
    </w:p>
    <w:p>
      <w:pPr>
        <w:pStyle w:val="ListBullet"/>
      </w:pPr>
      <w:r>
        <w:rPr>
          <w:rFonts w:ascii="宋体" w:hAnsi="宋体" w:eastAsia="宋体"/>
          <w:sz w:val="24"/>
        </w:rPr>
        <w:t>结果以预览形式展示，重要业务写入须用户确认；</w:t>
      </w:r>
    </w:p>
    <w:p>
      <w:pPr>
        <w:pStyle w:val="ListBullet"/>
      </w:pPr>
      <w:r>
        <w:rPr>
          <w:rFonts w:ascii="宋体" w:hAnsi="宋体" w:eastAsia="宋体"/>
          <w:sz w:val="24"/>
        </w:rPr>
        <w:t>提供探店/发布合规检核等辅助工具，降低违规发布风险。</w:t>
      </w:r>
    </w:p>
    <w:p>
      <w:r>
        <w:rPr>
          <w:rFonts w:ascii="黑体" w:hAnsi="黑体" w:eastAsia="黑体"/>
          <w:b/>
          <w:sz w:val="28"/>
        </w:rPr>
        <w:t>第六条 标识要求</w:t>
      </w:r>
    </w:p>
    <w:p>
      <w:pPr>
        <w:pStyle w:val="ListBullet"/>
      </w:pPr>
      <w:r>
        <w:rPr>
          <w:rFonts w:ascii="宋体" w:hAnsi="宋体" w:eastAsia="宋体"/>
          <w:sz w:val="24"/>
        </w:rPr>
        <w:t>对生成合成内容添加隐式标识（文件元数据/云厂商 AIGC 标识能力）；</w:t>
      </w:r>
    </w:p>
    <w:p>
      <w:pPr>
        <w:pStyle w:val="ListBullet"/>
      </w:pPr>
      <w:r>
        <w:rPr>
          <w:rFonts w:ascii="宋体" w:hAnsi="宋体" w:eastAsia="宋体"/>
          <w:sz w:val="24"/>
        </w:rPr>
        <w:t>在界面与成片中进行「AI生成」等显著标识；</w:t>
      </w:r>
    </w:p>
    <w:p>
      <w:pPr>
        <w:pStyle w:val="ListBullet"/>
      </w:pPr>
      <w:r>
        <w:rPr>
          <w:rFonts w:ascii="宋体" w:hAnsi="宋体" w:eastAsia="宋体"/>
          <w:sz w:val="24"/>
        </w:rPr>
        <w:t>通过弹窗、文案与用户协议提醒用户对外发布时保留显著标识。</w:t>
      </w:r>
    </w:p>
    <w:p>
      <w:r>
        <w:rPr>
          <w:rFonts w:ascii="黑体" w:hAnsi="黑体" w:eastAsia="黑体"/>
          <w:b/>
          <w:sz w:val="28"/>
        </w:rPr>
        <w:t>第七条 不良内容与虚假信息处置</w:t>
      </w:r>
    </w:p>
    <w:p>
      <w:pPr>
        <w:pStyle w:val="ListBullet"/>
      </w:pPr>
      <w:r>
        <w:rPr>
          <w:rFonts w:ascii="宋体" w:hAnsi="宋体" w:eastAsia="宋体"/>
          <w:sz w:val="24"/>
        </w:rPr>
        <w:t>发现违法不良内容立即阻断展示、删除相关结果并记录；</w:t>
      </w:r>
    </w:p>
    <w:p>
      <w:pPr>
        <w:pStyle w:val="ListBullet"/>
      </w:pPr>
      <w:r>
        <w:rPr>
          <w:rFonts w:ascii="宋体" w:hAnsi="宋体" w:eastAsia="宋体"/>
          <w:sz w:val="24"/>
        </w:rPr>
        <w:t>对可能造成虚假宣传的内容，要求人工复核后方可对外使用；</w:t>
      </w:r>
    </w:p>
    <w:p>
      <w:pPr>
        <w:pStyle w:val="ListBullet"/>
      </w:pPr>
      <w:r>
        <w:rPr>
          <w:rFonts w:ascii="宋体" w:hAnsi="宋体" w:eastAsia="宋体"/>
          <w:sz w:val="24"/>
        </w:rPr>
        <w:t>设立用户投诉渠道，及时核查反馈并报告重大风险。</w:t>
      </w:r>
    </w:p>
    <w:p>
      <w:r>
        <w:rPr>
          <w:rFonts w:ascii="黑体" w:hAnsi="黑体" w:eastAsia="黑体"/>
          <w:b/>
          <w:sz w:val="28"/>
        </w:rPr>
        <w:t>第八条 数据安全</w:t>
      </w:r>
    </w:p>
    <w:p>
      <w:pPr>
        <w:pStyle w:val="ListBullet"/>
      </w:pPr>
      <w:r>
        <w:rPr>
          <w:rFonts w:ascii="宋体" w:hAnsi="宋体" w:eastAsia="宋体"/>
          <w:sz w:val="24"/>
        </w:rPr>
        <w:t>传输层使用 HTTPS 加密；</w:t>
      </w:r>
    </w:p>
    <w:p>
      <w:pPr>
        <w:pStyle w:val="ListBullet"/>
      </w:pPr>
      <w:r>
        <w:rPr>
          <w:rFonts w:ascii="宋体" w:hAnsi="宋体" w:eastAsia="宋体"/>
          <w:sz w:val="24"/>
        </w:rPr>
        <w:t>按角色权限隔离租户与业务数据；</w:t>
      </w:r>
    </w:p>
    <w:p>
      <w:pPr>
        <w:pStyle w:val="ListBullet"/>
      </w:pPr>
      <w:r>
        <w:rPr>
          <w:rFonts w:ascii="宋体" w:hAnsi="宋体" w:eastAsia="宋体"/>
          <w:sz w:val="24"/>
        </w:rPr>
        <w:t>开展访问审计与备份；个人信息处理遵循最小必要与告知同意。</w:t>
      </w:r>
    </w:p>
    <w:p>
      <w:r>
        <w:rPr>
          <w:rFonts w:ascii="黑体" w:hAnsi="黑体" w:eastAsia="黑体"/>
          <w:b/>
          <w:sz w:val="28"/>
        </w:rPr>
        <w:t>第九条 应急与培训</w:t>
      </w:r>
    </w:p>
    <w:p>
      <w:pPr>
        <w:ind w:firstLine="420"/>
      </w:pPr>
      <w:r>
        <w:rPr>
          <w:rFonts w:ascii="宋体" w:hAnsi="宋体" w:eastAsia="宋体"/>
          <w:sz w:val="24"/>
        </w:rPr>
        <w:t>发生内容安全或数据安全事件时，立即止损、溯源、修复并按规定报告；定期对相关岗位开展合规培训。</w:t>
      </w:r>
    </w:p>
    <w:p>
      <w:r>
        <w:rPr>
          <w:rFonts w:ascii="黑体" w:hAnsi="黑体" w:eastAsia="黑体"/>
          <w:b/>
          <w:sz w:val="28"/>
        </w:rPr>
        <w:t>第十条 附则</w:t>
      </w:r>
    </w:p>
    <w:p>
      <w:r>
        <w:rPr>
          <w:rFonts w:ascii="宋体" w:hAnsi="宋体" w:eastAsia="宋体"/>
          <w:sz w:val="24"/>
        </w:rPr>
        <w:t>本制度由本公司负责解释，自发布之日起施行。</w:t>
      </w:r>
    </w:p>
    <w:p/>
    <w:p>
      <w:r>
        <w:rPr>
          <w:rFonts w:ascii="宋体" w:hAnsi="宋体" w:eastAsia="宋体"/>
          <w:sz w:val="24"/>
        </w:rPr>
        <w:t>主体名称：温州灵祺智能科技有限公司</w:t>
      </w:r>
    </w:p>
    <w:p>
      <w:r>
        <w:rPr>
          <w:rFonts w:ascii="宋体" w:hAnsi="宋体" w:eastAsia="宋体"/>
          <w:sz w:val="24"/>
        </w:rPr>
        <w:t>（盖章）</w:t>
      </w:r>
    </w:p>
    <w:p>
      <w:r>
        <w:rPr>
          <w:rFonts w:ascii="宋体" w:hAnsi="宋体" w:eastAsia="宋体"/>
          <w:sz w:val="24"/>
        </w:rPr>
        <w:t>法定代表人 / 授权代表签字：_______________</w:t>
      </w:r>
    </w:p>
    <w:p>
      <w:r>
        <w:rPr>
          <w:rFonts w:ascii="宋体" w:hAnsi="宋体" w:eastAsia="宋体"/>
          <w:sz w:val="24"/>
        </w:rPr>
        <w:t>日期：2026年07月29日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