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产品与服务说明</w:t>
      </w:r>
    </w:p>
    <w:p>
      <w:r>
        <w:rPr>
          <w:rFonts w:ascii="宋体" w:hAnsi="宋体" w:eastAsia="宋体"/>
          <w:b/>
        </w:rPr>
        <w:t>主体：</w:t>
      </w:r>
      <w:r>
        <w:rPr>
          <w:rFonts w:ascii="宋体" w:hAnsi="宋体" w:eastAsia="宋体"/>
        </w:rPr>
        <w:t>温州灵祺智能科技有限公司</w:t>
      </w:r>
    </w:p>
    <w:p>
      <w:r>
        <w:rPr>
          <w:rFonts w:ascii="宋体" w:hAnsi="宋体" w:eastAsia="宋体"/>
          <w:b/>
        </w:rPr>
        <w:t>产品：</w:t>
      </w:r>
      <w:r>
        <w:rPr>
          <w:rFonts w:ascii="宋体" w:hAnsi="宋体" w:eastAsia="宋体"/>
        </w:rPr>
        <w:t>灵祺AI智能ERP、灵祺星选达人撮合平台及相关小程序</w:t>
      </w:r>
    </w:p>
    <w:p>
      <w:r>
        <w:rPr>
          <w:rFonts w:ascii="黑体" w:hAnsi="黑体" w:eastAsia="黑体"/>
          <w:b/>
          <w:sz w:val="28"/>
        </w:rPr>
        <w:t>一、业务定位</w:t>
      </w:r>
    </w:p>
    <w:p>
      <w:pPr>
        <w:ind w:firstLine="420"/>
      </w:pPr>
      <w:r>
        <w:rPr>
          <w:rFonts w:ascii="宋体" w:hAnsi="宋体" w:eastAsia="宋体"/>
          <w:sz w:val="24"/>
        </w:rPr>
        <w:t>本公司面向本地生活商户与达人生态，提供 AI 经营 ERP 与达人撮合履约平台。生成式人工智能能力用于提升组品、文案、Brief、短视频等内容生产效率，以及辅助经营决策；最终决策与对外发布由用户确认。</w:t>
      </w:r>
    </w:p>
    <w:p>
      <w:r>
        <w:rPr>
          <w:rFonts w:ascii="黑体" w:hAnsi="黑体" w:eastAsia="黑体"/>
          <w:b/>
          <w:sz w:val="28"/>
        </w:rPr>
        <w:t>二、主要功能（生成合成相关）</w:t>
      </w:r>
    </w:p>
    <w:p>
      <w:pPr>
        <w:pStyle w:val="ListBullet"/>
      </w:pPr>
      <w:r>
        <w:rPr>
          <w:rFonts w:ascii="宋体" w:hAnsi="宋体" w:eastAsia="宋体"/>
          <w:sz w:val="24"/>
        </w:rPr>
        <w:t>AI 经营助手：自然语言交互，生成经营建议、组品方案、评价回复等；</w:t>
      </w:r>
    </w:p>
    <w:p>
      <w:pPr>
        <w:pStyle w:val="ListBullet"/>
      </w:pPr>
      <w:r>
        <w:rPr>
          <w:rFonts w:ascii="宋体" w:hAnsi="宋体" w:eastAsia="宋体"/>
          <w:sz w:val="24"/>
        </w:rPr>
        <w:t>文案与 Brief 生成：探店脚本、标题话题、口播稿等；</w:t>
      </w:r>
    </w:p>
    <w:p>
      <w:pPr>
        <w:pStyle w:val="ListBullet"/>
      </w:pPr>
      <w:r>
        <w:rPr>
          <w:rFonts w:ascii="宋体" w:hAnsi="宋体" w:eastAsia="宋体"/>
          <w:sz w:val="24"/>
        </w:rPr>
        <w:t>云剪与数字人成片：基于素材与口播文案合成短视频；</w:t>
      </w:r>
    </w:p>
    <w:p>
      <w:pPr>
        <w:pStyle w:val="ListBullet"/>
      </w:pPr>
      <w:r>
        <w:rPr>
          <w:rFonts w:ascii="宋体" w:hAnsi="宋体" w:eastAsia="宋体"/>
          <w:sz w:val="24"/>
        </w:rPr>
        <w:t>合规辅助：对内容进行平台规则相关检核提示。</w:t>
      </w:r>
    </w:p>
    <w:p>
      <w:r>
        <w:rPr>
          <w:rFonts w:ascii="黑体" w:hAnsi="黑体" w:eastAsia="黑体"/>
          <w:b/>
          <w:sz w:val="28"/>
        </w:rPr>
        <w:t>三、服务对象与形态</w:t>
      </w:r>
    </w:p>
    <w:p>
      <w:r>
        <w:rPr>
          <w:rFonts w:ascii="宋体" w:hAnsi="宋体" w:eastAsia="宋体"/>
          <w:b/>
        </w:rPr>
        <w:t>服务对象：</w:t>
      </w:r>
      <w:r>
        <w:rPr>
          <w:rFonts w:ascii="宋体" w:hAnsi="宋体" w:eastAsia="宋体"/>
        </w:rPr>
        <w:t>注册商户、服务商、达人/PR 等（需登录）</w:t>
      </w:r>
    </w:p>
    <w:p>
      <w:r>
        <w:rPr>
          <w:rFonts w:ascii="宋体" w:hAnsi="宋体" w:eastAsia="宋体"/>
          <w:b/>
        </w:rPr>
        <w:t>服务形态：</w:t>
      </w:r>
      <w:r>
        <w:rPr>
          <w:rFonts w:ascii="宋体" w:hAnsi="宋体" w:eastAsia="宋体"/>
        </w:rPr>
        <w:t>网站 + 微信小程序</w:t>
      </w:r>
    </w:p>
    <w:p>
      <w:r>
        <w:rPr>
          <w:rFonts w:ascii="宋体" w:hAnsi="宋体" w:eastAsia="宋体"/>
          <w:b/>
        </w:rPr>
        <w:t>访问路径：</w:t>
      </w:r>
      <w:r>
        <w:rPr>
          <w:rFonts w:ascii="宋体" w:hAnsi="宋体" w:eastAsia="宋体"/>
        </w:rPr>
        <w:t>cs.mofangdianai.com（商家ERP）、fws.mofangdianai.com（服务商ERP）、dr.mofangdianai.com（履约后台）、mofangdianai.com/erp-api（接口）</w:t>
      </w:r>
    </w:p>
    <w:p>
      <w:r>
        <w:rPr>
          <w:rFonts w:ascii="黑体" w:hAnsi="黑体" w:eastAsia="黑体"/>
          <w:b/>
          <w:sz w:val="28"/>
        </w:rPr>
        <w:t>四、与通用大模型产品的区别</w:t>
      </w:r>
    </w:p>
    <w:p>
      <w:pPr>
        <w:ind w:firstLine="420"/>
      </w:pPr>
      <w:r>
        <w:rPr>
          <w:rFonts w:ascii="宋体" w:hAnsi="宋体" w:eastAsia="宋体"/>
          <w:sz w:val="24"/>
        </w:rPr>
        <w:t>本服务为行业应用工具，限定在本地生活经营与达人履约场景，不提供面向不特定公众的开放域情感陪伴或拟人化长期互动服务。</w:t>
      </w:r>
    </w:p>
    <w:p/>
    <w:p>
      <w:r>
        <w:rPr>
          <w:rFonts w:ascii="宋体" w:hAnsi="宋体" w:eastAsia="宋体"/>
          <w:sz w:val="24"/>
        </w:rPr>
        <w:t>主体名称：温州灵祺智能科技有限公司</w:t>
      </w:r>
    </w:p>
    <w:p>
      <w:r>
        <w:rPr>
          <w:rFonts w:ascii="宋体" w:hAnsi="宋体" w:eastAsia="宋体"/>
          <w:sz w:val="24"/>
        </w:rPr>
        <w:t>（盖章）</w:t>
      </w:r>
    </w:p>
    <w:p>
      <w:r>
        <w:rPr>
          <w:rFonts w:ascii="宋体" w:hAnsi="宋体" w:eastAsia="宋体"/>
          <w:sz w:val="24"/>
        </w:rPr>
        <w:t>法定代表人 / 授权代表签字：_______________</w:t>
      </w:r>
    </w:p>
    <w:p>
      <w:r>
        <w:rPr>
          <w:rFonts w:ascii="宋体" w:hAnsi="宋体" w:eastAsia="宋体"/>
          <w:sz w:val="24"/>
        </w:rPr>
        <w:t>日期：2026年07月29日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