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互联网信息服务算法安全自评估报告</w:t>
      </w:r>
    </w:p>
    <w:p>
      <w:pPr>
        <w:jc w:val="center"/>
      </w:pPr>
      <w:r>
        <w:rPr>
          <w:sz w:val="24"/>
        </w:rPr>
        <w:t>（生成合成类-服务提供者）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主体名称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宁波墨典网络科技有限公司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统一社会信用代码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【请填写统一社会信用代码，须与营业执照一致】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算法名称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灵祺智能生成合成算法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算法类型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生成合成类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算法应用领域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用户内容生成(UGC)、短视频、商超团购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算法使用场景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本地生活商家营销内容辅助生成（经营文案、组品方案、活动话术等）；达人/商单相关说明与脚本辅助生成；在合规前提下提供图像、语音、短视频等生成合成能力调用与编排（含云剪成片、数字人口播等）。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算法上线情况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☑已上线，时间：2025年6月1日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自评估时间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2026年08月13日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报告撰写时间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2026年08月13日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算法基本情况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灵祺智能生成合成算法面向本地生活商家与达人生态，提供文本、音频、视频等生成合成能力编排服务（输出格式txt、json、mp3、mp4）。算法作为灵祺AI智能ERP（网站）、灵祺星选（微信小程序）及相关配套 Web的组成部分上线运行，展现形态为网站、微信小程序，由服务提供者直接向终端注册用户提供服务。版本V1.0。域名mofangdianai.com，ICP：浙ICP备2026044830号-1。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算法备案类型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☑算法未备案（本次首次申请备案）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拟公示内容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“灵祺智能生成合成算法”拟公示内容（附件）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落实主体责任基本情况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“宁波墨典网络科技有限公司”落实算法安全主体责任基本情况（附件）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评估算法描述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1.算法简介：基于大模型与生成合成技术，结合业务模板与安全策略，辅助生成营销与履约相关内容。</w:t>
              <w:br/>
              <w:t>2.应用范围：灵祺AI智能ERP（网站）、灵祺星选（微信小程序）及相关配套 Web中的 AI 生成功能（对话、组品、Brief、云剪、数字人等）。</w:t>
              <w:br/>
              <w:t>3.服务群体：本地生活商家、服务商、达人/PR 等注册用户（需登录）。</w:t>
              <w:br/>
              <w:t>4.用户数量：以实际运营统计为准（B端订阅与小程序注册用户）。</w:t>
              <w:br/>
              <w:t>5.社会影响：提高中小商家内容生产效率，影响范围限于平台注册用户业务场景，不面向社会大众信息流推荐，不提供新闻采编服务。</w:t>
              <w:br/>
              <w:t>6.软硬件设施及部署位置：软硬件均部署于中华人民共和国境内，不跨境存储与推理。（1）业务 API 与数据库：阿里云轻量应用服务器，公网 IP 139.196.42.5，机房位于阿里云中国内地华东地域（杭州节点所属区域），运行 Node.js 业务服务与 PostgreSQL 等；（2）静态 Web 前端：阿里云 ECS，公网 IP 8.160.173.236，位于阿里云中国内地华东地域，托管商家/服务商/履约网站静态资源与 Nginx；（3）对象存储与媒体合成：调用阿里云境内对象存储及智能媒体服务（ICE/IMS），数据驻留中国内地；（4）大模型推理：经 HTTPS 调用火山引擎、阿里云等境内已备案模型 API，不向境外传输训练用途数据。对外服务域名：mofangdianai.com（ICP：浙ICP备2026044830号-1）。</w:t>
              <w:br/>
              <w:t>7.其他：底层模型通过合法授权的第三方 API 调用，平台负责业务编排与安全管控；详见「算法模型」及附件《第三方模型调用说明与证明材料》。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评估算法风险描述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1.算法滥用风险：用户可能试图生成虚假宣传、侵权或违规内容。</w:t>
              <w:br/>
              <w:t>2.算法被恶意利用风险：批量调用、绕过审核、伪造身份生成不良内容。</w:t>
              <w:br/>
              <w:t>3.算法漏洞风险：提示注入、异常输入导致越权或错误输出。</w:t>
              <w:br/>
              <w:t>4.违法和不良信息生成风险：输出涉政、色情、暴力、歧视、谣言等。</w:t>
              <w:br/>
              <w:t>5.违法和不良信息存储风险：生成结果或日志被不当留存。</w:t>
              <w:br/>
              <w:t>6.违法和不良信息传播扩散风险：用户将违规内容外发至公域平台。</w:t>
              <w:br/>
              <w:t>7.数据和用户信息泄露风险：门店、用户个人信息被未授权访问或泄露。</w:t>
              <w:br/>
              <w:t>8.其他违法违规风险：未明示深度合成标识、未成年人保护不足等。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真实性声明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我方承诺：提供的所有材料准确、真实、合法、有效，并愿为此承担有关法律责任。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算法安全负责人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曹鑫淼（签名）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联系电话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15757468650</w:t>
            </w:r>
          </w:p>
        </w:tc>
      </w:tr>
    </w:tbl>
    <w:p>
      <w:r>
        <w:rPr>
          <w:rFonts w:ascii="黑体" w:hAnsi="黑体" w:eastAsia="黑体"/>
          <w:b/>
          <w:sz w:val="28"/>
        </w:rPr>
        <w:t>一、算法情况</w:t>
      </w:r>
    </w:p>
    <w:p>
      <w:r>
        <w:rPr>
          <w:rFonts w:ascii="黑体" w:hAnsi="黑体" w:eastAsia="黑体"/>
          <w:b/>
          <w:sz w:val="24"/>
        </w:rPr>
        <w:t>（一）算法流程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流程节点：用户请求接入→身份与权限校验→业务上下文组装（门店/商品/任务描述）→提示词与参数生成→生成合成模型/云媒体服务调用（文本/图像/语音/视频等）→安全过滤与策略干预→结果封装返回并添加显式标识提示→（可选）人工客服或运营复核→用户确认后使用→日志留痕与溯源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节点粒度说明：身份校验与上下文组装为平台规则节点；模型调用为机器学习节点；安全过滤与内容审核为干预策略节点；人工复核为人工干预节点；标识与日志为合规节点。</w:t>
      </w:r>
    </w:p>
    <w:p>
      <w:r>
        <w:rPr>
          <w:rFonts w:ascii="黑体" w:hAnsi="黑体" w:eastAsia="黑体"/>
          <w:b/>
          <w:sz w:val="24"/>
        </w:rPr>
        <w:t>（二）算法数据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输入数据模态：文本、图像、视频。文本类输入：用户中文自然语言指令、门店名称、品类、活动卖点、目标平台等业务文本；一般不强制采集人脸等生物特征用于身份识别。涉及账号信息时仅用于鉴权与会话关联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输出数据模态：文本、音频、视频；输出文件格式：txt、json、mp3、mp4。其中：文本结果以 txt/json（UTF-8）返回，体积通常为 KB 级；语音为 mp3；短视频/数字人成片为 mp4，单文件通常不超过 200MB。跨模态场景：文本→图像/语音/视频。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图像/视频类输入（如启用）：用户上传的门店图片、参考图、菜单图或探店素材等；可能包含店铺环境画面；原则上不采集用于身份识别的生物特征。上传格式常见为 jpg/png/mp4，大小受产品限制。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训练数据：本平台以调用经授权的通用大模型/生成服务为主，不在本地保存完整第三方模型训练语料，不自研训练底层基础大模型。如存在业务微调或提示词样本库，样本来源于公开语料、合成样例及经授权的业务脱敏数据，规模按内部版本管理，不包含违法违规内容。</w:t>
      </w:r>
    </w:p>
    <w:p>
      <w:r>
        <w:rPr>
          <w:rFonts w:ascii="黑体" w:hAnsi="黑体" w:eastAsia="黑体"/>
          <w:b/>
          <w:sz w:val="24"/>
        </w:rPr>
        <w:t>（三）算法模型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1. 灵祺业务编排模型（平台侧自研）：负责将 ERP/小程序业务字段转换为生成请求，进行参数约束与结果结构化；类型为规则+模板+接口编排，随产品迭代更新；不构成底层大模型训练。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2. 所调用第三方技术模型（能力层，须附合同/开通截图及厂商公示截图）：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（1）模型/服务名称：豆包大模型（火山方舟 API）；提供方：北京火山引擎科技有限公司等相关主体；相关算法备案号：网信算备110108823483901230031号（豆包大模型算法）；模型备案/上线信息：Beijing-YunQue-20230821（以厂商公示为准）；在本产品中的用途：文本对话、经营建议、组品方案、招募 Brief、文案生成等。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（2）模型/服务名称：通义千问大模型（阿里云百炼/DashScope API）；提供方：阿里巴巴达摩院（杭州）科技有限公司等相关主体；相关算法备案号：网信算备330110507206401230035号（达摩院交互式多能型合成算法，以厂商公示为准）；模型备案/上线信息：ZheJiang-TongYiQianWen-20230901（以厂商公示为准）；在本产品中的用途：文本对话、内容生成、多模态辅助等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（3）模型/服务名称：阿里云智能媒体服务 ICE / IMS（云剪辑、数字人、TTS 等）；提供方：阿里云计算有限公司；相关算法备案号：按所用具体能力对应厂商已公示算法/模型备案号填写（提交前截图核对）；模型备案/上线信息：按合同与控制台开通能力对应填写；在本产品中的用途：短视频云剪成片、数字人口播、语音合成（mp3/mp4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模型类型主要为 Transformer 等深度学习结构及云媒体合成管线；优化目标为在给定提示下生成可用的业务文案或素材；评价指标包括可用性、违规命中率、延迟等；更新迭代跟随供应商版本与本平台接入策略。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3. 内容安全检测策略：对输入输出进行敏感词与违规类别检测（规则库+云安全能力），命中则拦截或提示用户修改。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说明：本备案算法作为服务提供者对外提供生成合成服务；不单独提供人脸替换类深度伪造娱乐产品；数字人口播使用商用预设形象/音色，不采集用户声纹用于克隆。如后续能力重大变更，将按规定办理变更备案。【附件】第三方模型合同/API 开通截图、厂商备案公示截图。</w:t>
      </w:r>
    </w:p>
    <w:p>
      <w:r>
        <w:rPr>
          <w:rFonts w:ascii="黑体" w:hAnsi="黑体" w:eastAsia="黑体"/>
          <w:b/>
          <w:sz w:val="24"/>
        </w:rPr>
        <w:t>（四）干预策略（含输入/结果审核方式、审核范围）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【输入数据的审核方式】机器自动审核为主，覆盖全部在线生成接口：（1）身份与权限校验（登录态、租户隔离、套餐配额）；（2）输入长度/格式校验与必要脱敏；（3）敏感词与违规意图预检（涉政、色情、暴恐、歧视、违禁品、虚假宣传等类别）；（4）禁止将合同底价等敏感字段上传至未评估的公共免费 AI。命中高风险输入时直接拒答或阻断请求。审核范围：全部注册用户发起的生成请求。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【结果的审核方式】机器审核 + 人工抽检/客服复核：（1）生成后对输出再次敏感词/违规类别过滤；（2）产品侧强制「AI 起草→预览→用户人工确认」后，方可写入业务库或用于对外发布链路；（3）用户举报、高风险账号及抽检样本由客服/运营人工复核，必要时暂停账号生成权限；（4）不提供新闻合成发布能力。审核范围：全部生成输出；写操作与对外发布相关结果实行人工确认门禁。上述机制用于证明安全风险防范的有效性：自动拦截降低违规产出，人工确认阻断自动外发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权限与配额干预：按租户套餐与账号权限控制调用；异常高频请求可限流或封禁。</w:t>
      </w:r>
    </w:p>
    <w:p>
      <w:r>
        <w:rPr>
          <w:rFonts w:ascii="黑体" w:hAnsi="黑体" w:eastAsia="黑体"/>
          <w:b/>
          <w:sz w:val="24"/>
        </w:rPr>
        <w:t>（五）结果标识（须附截图证明）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1. 溯源标识（隐式）：平台侧对生成请求保留日志，至少包括账号标识、时间、会话/任务标识、功能模块、模型通道等，具备内部追踪溯源能力；音视频成片对接云厂商 AIGC 隐式标识/文件元数据能力（随 ICE/数字人服务侧能力启用）。【附件】后台日志字段截图或审计说明页截图。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2. 显性标识：在产品界面以显著文字提示「AI生成 / 人工智能生成 / AI辅助生成，请人工确认」；文本结果展示区顶部或文首标注；视频/数字人成片在片头或画面角落标注；用户协议与隐私政策要求用户对外发布时依法保留显著标识。【附件】生成结果页显性标识截图、成片标注截图、用户协议相关条款截图。</w:t>
      </w:r>
    </w:p>
    <w:p>
      <w:r>
        <w:rPr>
          <w:rFonts w:ascii="黑体" w:hAnsi="黑体" w:eastAsia="黑体"/>
          <w:b/>
          <w:sz w:val="28"/>
        </w:rPr>
        <w:t>二、服务情况（展示形态须与填报项产品及功能信息一致）</w:t>
      </w:r>
    </w:p>
    <w:p>
      <w:r>
        <w:rPr>
          <w:rFonts w:ascii="黑体" w:hAnsi="黑体" w:eastAsia="黑体"/>
          <w:b/>
          <w:sz w:val="24"/>
        </w:rPr>
        <w:t>（一）灵祺AI智能ERP（网站）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服务简介：面向本地生活商家的 SaaS 工作台，提供门店经营、达人招募、AI 营销文案/素材辅助生成、云剪/数字人等能力。展现形态：网站（非 App）。访问地址：https://cs.mofangdianai.com。上线时间：2025年6月1日起分阶段上线。入口位于商家后台 AI 相关菜单与创作工具。用户为付费/注册商家，使用需登录（实名/手机号或微信授权）。前置许可：ICP 备案号 浙ICP备2026044830号-1，备案主体为宁波墨典网络科技有限公司，与本算法备案主体一致。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算法在服务中应用情况：数据来源于商家填写的门店与活动信息及用户指令；训练语料不落本地全量复制；模型能力按需调用境内云端接口；更新频率随产品发版与模型供应商升级；中间结果原则上不向无关第三方共享，仅用于完成本次生成与安全审计。</w:t>
      </w:r>
    </w:p>
    <w:p>
      <w:r>
        <w:rPr>
          <w:rFonts w:ascii="黑体" w:hAnsi="黑体" w:eastAsia="黑体"/>
          <w:b/>
          <w:sz w:val="24"/>
        </w:rPr>
        <w:t>（二）灵祺星选（微信小程序）及配套履约网站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服务简介：面向达人、PR 与合作方的撮合与履约协同。展现形态：微信小程序（灵祺星选）+ 配套网站 https://dr.mofangdianai.com。在合规范围内提供话术、说明、脚本及云剪相关辅助生成。入口位于小程序及运营相关页面；使用需登录。域名侧 ICP 同为 浙ICP备2026044830号-1（主体 宁波墨典网络科技有限公司）。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算法在服务中应用情况：与 ERP 侧共用算法安全策略与日志机制；按账号权限开放生成能力。</w:t>
      </w:r>
    </w:p>
    <w:p>
      <w:r>
        <w:rPr>
          <w:rFonts w:ascii="黑体" w:hAnsi="黑体" w:eastAsia="黑体"/>
          <w:b/>
          <w:sz w:val="28"/>
        </w:rPr>
        <w:t>三、风险研判</w:t>
      </w:r>
    </w:p>
    <w:p>
      <w:r>
        <w:rPr>
          <w:rFonts w:ascii="黑体" w:hAnsi="黑体" w:eastAsia="黑体"/>
          <w:b/>
          <w:sz w:val="24"/>
        </w:rPr>
        <w:t>（一）算法滥用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存在用户利用生成能力制作虚假促销、侵权或不良内容的风险。影响包括误导消费者、损害平台与商家信誉、引发投诉与监管风险。本平台通过协议禁止、机器审核、人工确认门禁与处置降低该风险。</w:t>
      </w:r>
    </w:p>
    <w:p>
      <w:r>
        <w:rPr>
          <w:rFonts w:ascii="黑体" w:hAnsi="黑体" w:eastAsia="黑体"/>
          <w:b/>
          <w:sz w:val="24"/>
        </w:rPr>
        <w:t>（二）算法漏洞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存在提示注入、异常参数导致越权输出或不稳定结果的风险，可能影响业务连续性或产生不当内容。通过输入校验、权限隔离、超时与重试控制、模型输出复核降低风险。</w:t>
      </w:r>
    </w:p>
    <w:p>
      <w:r>
        <w:rPr>
          <w:rFonts w:ascii="黑体" w:hAnsi="黑体" w:eastAsia="黑体"/>
          <w:b/>
          <w:sz w:val="24"/>
        </w:rPr>
        <w:t>（三）算法恶意利用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存在被第三方批量爬取接口、盗用密钥或诱导生成违禁内容的风险。通过鉴权、密钥管理、限流、异常监测与封禁降低风险。</w:t>
      </w:r>
    </w:p>
    <w:p>
      <w:r>
        <w:rPr>
          <w:rFonts w:ascii="黑体" w:hAnsi="黑体" w:eastAsia="黑体"/>
          <w:b/>
          <w:sz w:val="24"/>
        </w:rPr>
        <w:t>其他风险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还包括个人信息泄露、生成内容外发传播、未成年人不当使用等风险，纳入内容治理与隐私合规统筹防控。</w:t>
      </w:r>
    </w:p>
    <w:p>
      <w:r>
        <w:rPr>
          <w:rFonts w:ascii="黑体" w:hAnsi="黑体" w:eastAsia="黑体"/>
          <w:b/>
          <w:sz w:val="28"/>
        </w:rPr>
        <w:t>四、风险防控情况</w:t>
      </w:r>
    </w:p>
    <w:p>
      <w:r>
        <w:rPr>
          <w:rFonts w:ascii="黑体" w:hAnsi="黑体" w:eastAsia="黑体"/>
          <w:b/>
          <w:sz w:val="24"/>
        </w:rPr>
        <w:t>（一）风险防范机制建设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算法机制机理审核、算法安全评估监测、对生成合成虚假信息的辟谣机制、算法安全事件应急处置等，详见附件《宁波墨典网络科技有限公司落实算法安全主体责任基本情况》。对第三章所列滥用、漏洞、恶意利用及违法不良信息风险均有效。</w:t>
      </w:r>
    </w:p>
    <w:p>
      <w:r>
        <w:rPr>
          <w:rFonts w:ascii="黑体" w:hAnsi="黑体" w:eastAsia="黑体"/>
          <w:b/>
          <w:sz w:val="24"/>
        </w:rPr>
        <w:t>用户权益保护（须附截图证明）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用户知情权：通过用户协议、隐私政策及生成界面提示告知 AI 辅助生成情况；处理个人信息依法告知并取得同意（注册/登录与功能授权流程）。【附件】用户协议/隐私政策含生成式 AI 条款截图；注册登录同意页截图；生成页知情提示截图。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用户个人信息保护：遵循《个人信息保护法》等要求，最小必要采集；生成业务数据与第三方模型服务交互时，仅传输完成生成所必需字段；不向无关第三方出售个人信息；共享遵循合同与审批。【附件】隐私政策个人信息处理条款截图；权限/租户隔离说明或后台权限截图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其他权益保护：同时遵循网络安全法、电子商务法、广告法、消费者权益保护法、未成年人保护法等；禁止生成违法广告与侵害他人权益内容；提供投诉举报与客服渠道（电话 15757468650）。【附件】投诉入口或客服联系方式截图。</w:t>
      </w:r>
    </w:p>
    <w:p>
      <w:r>
        <w:rPr>
          <w:rFonts w:ascii="黑体" w:hAnsi="黑体" w:eastAsia="黑体"/>
          <w:b/>
          <w:sz w:val="24"/>
        </w:rPr>
        <w:t>内容生态治理（须附截图证明）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防范和抵制违法违规不良信息：建立敏感词与违规类别拦截、生成失败提示、用户举报与客服处置闭环；对违法不良信息生成、存储、传播风险有效。【附件】拦截/拒答效果截图；举报或处置流程截图（如有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人工审核：对投诉举报、高风险账号及抽检样本开展人工复核；机器审核与人工审核相结合，写操作强制用户确认；必要时暂停相关账号生成权限。【附件】「预览确认后写入」交互截图。</w:t>
      </w:r>
    </w:p>
    <w:p>
      <w:r>
        <w:rPr>
          <w:rFonts w:ascii="黑体" w:hAnsi="黑体" w:eastAsia="黑体"/>
          <w:b/>
          <w:sz w:val="24"/>
        </w:rPr>
        <w:t>模型安全保障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接口鉴权与密钥轮换保障机制：限制未授权调用；对异常流量告警。对恶意利用、滥用风险有效。提示与输出安全策略：拒绝明显违规请求；对输出二次过滤。对违法不良信息生成风险有效。</w:t>
      </w:r>
    </w:p>
    <w:p>
      <w:r>
        <w:rPr>
          <w:rFonts w:ascii="黑体" w:hAnsi="黑体" w:eastAsia="黑体"/>
          <w:b/>
          <w:sz w:val="24"/>
        </w:rPr>
        <w:t>数据安全防护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训练/样本与业务数据采集遵循合法、正当、必要原则；存储于境内云资源，按权限访问；与第三方模型服务交互通过加密信道（HTTPS）；日志分级保存与定期审计，降低泄露风险。部署位置详见评估算法描述第 6 点。</w:t>
      </w:r>
    </w:p>
    <w:p>
      <w:r>
        <w:rPr>
          <w:rFonts w:ascii="黑体" w:hAnsi="黑体" w:eastAsia="黑体"/>
          <w:b/>
          <w:sz w:val="28"/>
        </w:rPr>
        <w:t>五、安全评估结论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经自评估，灵祺智能生成合成算法在现有业务场景下，已建立与主要风险相匹配的安全策略与处置机制（输入机器审核、输出机器审核+人工确认门禁、显式/溯源标识、用户权益与内容治理措施），具备上线运行条件。本报告结论为：风险总体可控，同意按服务提供者角色申请算法备案并持续改进安全措施。后续若算法能力、场景或主体信息发生重大变更，将按规定办理变更备案。</w:t>
      </w:r>
    </w:p>
    <w:p>
      <w:r>
        <w:rPr>
          <w:rFonts w:ascii="黑体" w:hAnsi="黑体" w:eastAsia="黑体"/>
          <w:b/>
          <w:sz w:val="28"/>
        </w:rPr>
        <w:t>六、其他应当说明的相关情况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1. 本算法底层使用第三方云厂商大模型/生成 API 与云媒体服务，本单位作为服务提供者对面向用户的服务与安全负责；第三方模型名称、备案号及合同/开通证明见第三章及附件。</w:t>
        <w:br/>
        <w:t>2. 算法名称在填报项、《拟公示内容》与本报告中统一为「灵祺智能生成合成算法」，不得使用其他别名。</w:t>
        <w:br/>
        <w:t>3. 输出模态（文本、音频、视频）与文件格式（txt、json、mp3、mp4）一一对应；展示形态（网站、微信小程序）与产品及功能信息一致。</w:t>
        <w:br/>
        <w:t>4. ICP 前置许可填写 浙ICP备2026044830号-1，备案主体为宁波墨典网络科技有限公司，与本算法备案主体一致。</w:t>
        <w:br/>
        <w:t>5. 附件包括：拟公示内容；落实算法安全主体责任基本情况；算法备案承诺书；第三方模型合同/开通与公示截图；结果标识与用户权益/内容治理截图等。</w:t>
      </w:r>
    </w:p>
    <w:p/>
    <w:p>
      <w:pPr>
        <w:spacing w:line="360" w:lineRule="auto"/>
      </w:pPr>
      <w:r>
        <w:rPr>
          <w:rFonts w:ascii="宋体" w:hAnsi="宋体" w:eastAsia="宋体"/>
          <w:sz w:val="24"/>
        </w:rPr>
        <w:t>主体名称（盖章）：宁波墨典网络科技有限公司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算法安全负责人（签名）：曹鑫淼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日期：2026年08月13日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