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种子直投常见上限</w:t>
            </w:r>
            <w:r>
              <w:t xml:space="preserve"> 200 </w:t>
            </w:r>
            <w:r>
              <w:rPr>
                <w:rFonts w:hint="eastAsia"/>
              </w:rPr>
              <w:t xml:space="preserve">万（以当年细则为准）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主体已是宁波墨典；2026</w:t>
            </w:r>
            <w:r>
              <w:t xml:space="preserve"> </w:t>
            </w:r>
            <w:r>
              <w:rPr>
                <w:rFonts w:hint="eastAsia"/>
              </w:rPr>
              <w:t xml:space="preserve">常态化申报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浙里办账号</w:t>
            </w:r>
            <w:r>
              <w:t xml:space="preserve"> → </w:t>
            </w:r>
            <w:r>
              <w:rPr>
                <w:rFonts w:hint="eastAsia"/>
              </w:rPr>
              <w:t xml:space="preserve">宁波科技大脑</w:t>
            </w:r>
            <w:r>
              <w:t xml:space="preserve"> https://stbrain.kjj.ningbo.gov.cn/tstz/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先核注册未满</w:t>
            </w:r>
            <w:r>
              <w:t xml:space="preserve"> 2 </w:t>
            </w:r>
            <w:r>
              <w:rPr>
                <w:rFonts w:hint="eastAsia"/>
              </w:rPr>
              <w:t xml:space="preserve">年、研发人员</w:t>
            </w:r>
            <w:r>
              <w:t xml:space="preserve"> </w:t>
            </w:r>
            <w:r>
              <w:rPr>
                <w:rFonts w:hint="eastAsia"/>
              </w:rPr>
              <w:t xml:space="preserve">≥30%、研发费用占比</w:t>
            </w:r>
            <w:r>
              <w:t xml:space="preserve"> </w:t>
            </w:r>
            <w:r>
              <w:rPr>
                <w:rFonts w:hint="eastAsia"/>
              </w:rPr>
              <w:t xml:space="preserve">≥5%，再交材料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公司在宁波，温州已有达人，是他们熟悉的浙江门店故事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浙江产业基金，可领投</w:t>
            </w:r>
            <w:r>
              <w:t xml:space="preserve"> 200–300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公司在宁波，先把杭甬温做深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配比：宁波天使引导基金解决「本地直投」，奇绩</w:t>
      </w:r>
      <w:r>
        <w:t xml:space="preserve"> / </w:t>
      </w:r>
      <w:r>
        <w:rPr>
          <w:rFonts w:hint="eastAsia"/>
        </w:rPr>
        <w:t xml:space="preserve">天使湾解决「速度和品牌」，浙商创投解决「领投和耐心」。目标</w:t>
      </w:r>
      <w:r>
        <w:t xml:space="preserve"> 400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家拼盘，首次交割</w:t>
      </w:r>
      <w:r>
        <w:t xml:space="preserve"> 300 </w:t>
      </w:r>
      <w:r>
        <w:rPr>
          <w:rFonts w:hint="eastAsia"/>
        </w:rPr>
        <w:t xml:space="preserve">万即可启动。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天使湾单笔若只有几十万，把它当第一张支票和杭州引荐器，不要指望它单独填满本轮。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能听懂续费、留存、服务商带客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</w:t>
            </w:r>
            <w:r>
              <w:t xml:space="preserve"> AI </w:t>
            </w:r>
            <w:r>
              <w:rPr>
                <w:rFonts w:hint="eastAsia"/>
              </w:rPr>
              <w:t xml:space="preserve">是否真用在经营里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调用和商户确认后再写入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温州科创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投早投小，更认温州落地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星选供给在温州已有密度，但主体已迁宁波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市基金公司</w:t>
            </w:r>
            <w:r>
              <w:t xml:space="preserve"> fund@wzsfc.cn · 0577-88523918 / 0577-88591696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强调温州</w:t>
            </w:r>
            <w:r>
              <w:t xml:space="preserve"> 264 </w:t>
            </w:r>
            <w:r>
              <w:rPr>
                <w:rFonts w:hint="eastAsia"/>
              </w:rPr>
              <w:t xml:space="preserve">名会员，公司在宁波、供给在温州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。不要发</w:t>
      </w:r>
      <w:r>
        <w:t xml:space="preserve"> </w:t>
      </w:r>
      <w:r>
        <w:rPr>
          <w:rFonts w:hint="eastAsia"/>
        </w:rPr>
        <w:t xml:space="preserve">pptx。产品演示视频不要当附件，有成片后用链接。股权和财务简表有了再加。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档位说成付费；说「档位已开通，确认到账仍极薄，这正是本轮要解决的问题」。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各机构完整邮件见同目录《各机构邮件模板》。桌面按机构分好的文件夹：</w:t>
      </w:r>
      <w:r>
        <w:rPr>
          <w:rStyle w:val="VerbatimChar"/>
          <w:rFonts w:hint="eastAsia"/>
        </w:rPr>
        <w:t xml:space="preserve">灵祺种子轮投融资资料-20260906/按机构发送/</w:t>
      </w:r>
      <w:r>
        <w:rPr>
          <w:rFonts w:hint="eastAsia"/>
        </w:rPr>
        <w:t xml:space="preserve">（重做：</w:t>
      </w:r>
      <w:r>
        <w:rPr>
          <w:rStyle w:val="VerbatimChar"/>
        </w:rPr>
        <w:t xml:space="preserve">python3 scripts/pack_investor_mail_folders.py</w:t>
      </w:r>
      <w:r>
        <w:rPr>
          <w:rFonts w:hint="eastAsia"/>
        </w:rPr>
        <w:t xml:space="preserve">）。下面只留三类主题和一封通用底稿。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宁波引导基金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ERP：已同步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星选履约｜供需已在生产环境跑通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ERP，以及达人履约小程序「灵祺星选」：商户在系统里组品、发招募，达人报名、交付、回传。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单、平台成交</w:t>
      </w:r>
      <w:r>
        <w:rPr>
          <w:rStyle w:val="VerbatimChar"/>
        </w:rPr>
        <w:t xml:space="preserve">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万即可启动，只做杭甬温。先把门店订阅、履约收费和服务商带客做成能算清楚的账。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分钟演示商家发单、达人报名。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  <w:r>
        <w:br/>
      </w:r>
      <w:r>
        <w:rPr>
          <w:rStyle w:val="VerbatimChar"/>
        </w:rPr>
        <w:t xml:space="preserve">modian@mofangdianai.com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给宁波天使引导基金：材料走科技大脑，邮件只做备份；先核注册未满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≥30%。</w:t>
      </w:r>
      <w:r>
        <w:br/>
      </w:r>
      <w:r>
        <w:rPr>
          <w:rFonts w:hint="eastAsia"/>
        </w:rPr>
        <w:t xml:space="preserve">给温州基金：加一句「主体宁波墨典，星选会员里温州</w:t>
      </w:r>
      <w:r>
        <w:t xml:space="preserve"> 264 </w:t>
      </w:r>
      <w:r>
        <w:rPr>
          <w:rFonts w:hint="eastAsia"/>
        </w:rPr>
        <w:t xml:space="preserve">人，希望把数字化工具留在浙南商户和达人两侧。」</w:t>
      </w:r>
      <w:r>
        <w:br/>
      </w:r>
      <w:r>
        <w:rPr>
          <w:rFonts w:hint="eastAsia"/>
        </w:rPr>
        <w:t xml:space="preserve">给阿米巴：加一句「服务商版已有塔塔、极道、意米等客户，想和您讨论门店续费和留存；733</w:t>
      </w:r>
      <w:r>
        <w:t xml:space="preserve"> </w:t>
      </w:r>
      <w:r>
        <w:rPr>
          <w:rFonts w:hint="eastAsia"/>
        </w:rPr>
        <w:t xml:space="preserve">万是商户成交，不是公司收入。」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ERP，右边是星选履约网，两边数据打通。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我们还几乎没收到订阅费。400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核宁波天使引导基金资格并申报科技大脑；提交奇绩官网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先演示再谈条款；演示只走一条真实订单，不翻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2026-09-06T10:21:10Z</dcterms:created>
  <dcterms:modified xsi:type="dcterms:W3CDTF">2026-09-06T10:21:10Z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