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SaaS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宁波灰测</w:t>
            </w:r>
            <w:r>
              <w:t xml:space="preserve"> + </w:t>
            </w:r>
            <w:r>
              <w:rPr>
                <w:rFonts w:hint="eastAsia"/>
              </w:rPr>
              <w:t xml:space="preserve">温州供给密度，是他们熟悉的浙江门店故事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浙江产业基金，额度可覆盖本轮全部或部分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主体宁波、战场杭甬温，要的是可复制的区域</w:t>
            </w:r>
            <w:r>
              <w:t xml:space="preserve"> densify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投早投小，要求温州落地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主体宁波墨典，星选供给在温州已有密度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强调温州达人供给</w:t>
            </w:r>
            <w:r>
              <w:t xml:space="preserve"> 264 </w:t>
            </w:r>
            <w:r>
              <w:rPr>
                <w:rFonts w:hint="eastAsia"/>
              </w:rPr>
              <w:t xml:space="preserve">人与本地商户数字化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配比：奇绩</w:t>
      </w:r>
      <w:r>
        <w:t xml:space="preserve"> / </w:t>
      </w:r>
      <w:r>
        <w:rPr>
          <w:rFonts w:hint="eastAsia"/>
        </w:rPr>
        <w:t xml:space="preserve">天使湾解决「速度和品牌」，浙商</w:t>
      </w:r>
      <w:r>
        <w:t xml:space="preserve"> / </w:t>
      </w:r>
      <w:r>
        <w:rPr>
          <w:rFonts w:hint="eastAsia"/>
        </w:rPr>
        <w:t xml:space="preserve">温州基金解决「落地和耐心」。500</w:t>
      </w:r>
      <w:r>
        <w:t xml:space="preserve">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家拼盘比一家吃满更现实。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</w:t>
      </w:r>
      <w:r>
        <w:t xml:space="preserve"> 500 </w:t>
      </w:r>
      <w:r>
        <w:rPr>
          <w:rFonts w:hint="eastAsia"/>
        </w:rPr>
        <w:t xml:space="preserve">万。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</w:t>
            </w:r>
            <w:r>
              <w:t xml:space="preserve"> SaaS </w:t>
            </w:r>
            <w:r>
              <w:rPr>
                <w:rFonts w:hint="eastAsia"/>
              </w:rPr>
              <w:t xml:space="preserve">语境（公开组合含二维火等）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能听懂续费、留存、服务商导入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看技术是否嵌进工作流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调用和预览确认机制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附件只要两份：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灵祺种子轮-投资人备忘录</w:t>
      </w:r>
      <w:r>
        <w:rPr>
          <w:rFonts w:hint="eastAsia"/>
        </w:rPr>
        <w:t xml:space="preserve">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档位说成付费；说「档位已开通，确认到账仍极薄，这正是本轮要打的洞」。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杭甬温密度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温州基金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500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付费未起量但供需双边已在生产环境跑通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经营操作系统，加上可验证的达人履约网络：商户在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里组品、发招募，达人在「灵祺星选」小程序报名、交付、回链，数据同一套注册表。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万（这是商户成交，不是我们的收入）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支付通道已通，确认到账仍只有约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万——规模化收费是本轮要解决的问题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500 </w:t>
      </w:r>
      <w:r>
        <w:rPr>
          <w:rStyle w:val="VerbatimChar"/>
          <w:rFonts w:hint="eastAsia"/>
        </w:rPr>
        <w:t xml:space="preserve">万，战场只在杭甬温。我们不讲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个月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万店，只承诺先把订阅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服务商导入做成可审计的单位经济。</w:t>
      </w:r>
      <w:r>
        <w:br/>
      </w:r>
      <w:r>
        <w:br/>
      </w:r>
      <w:r>
        <w:rPr>
          <w:rStyle w:val="VerbatimChar"/>
          <w:rFonts w:hint="eastAsia"/>
        </w:rPr>
        <w:t xml:space="preserve">附件是一页纸和备忘录。若方便，想占用您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星选报名」这条主链路。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给温州基金：加一句「主体宁波墨典，星选会员里温州</w:t>
      </w:r>
      <w:r>
        <w:t xml:space="preserve"> 264 </w:t>
      </w:r>
      <w:r>
        <w:rPr>
          <w:rFonts w:hint="eastAsia"/>
        </w:rPr>
        <w:t xml:space="preserve">人，希望把数字化工具留在浙南商户和达人两侧。」</w:t>
      </w:r>
      <w:r>
        <w:br/>
      </w:r>
      <w:r>
        <w:rPr>
          <w:rFonts w:hint="eastAsia"/>
        </w:rPr>
        <w:t xml:space="preserve">给阿米巴：加一句「服务商版已有塔塔、极道、意米等租户，想和您讨论餐饮</w:t>
      </w:r>
      <w:r>
        <w:t xml:space="preserve"> SaaS </w:t>
      </w:r>
      <w:r>
        <w:rPr>
          <w:rFonts w:hint="eastAsia"/>
        </w:rPr>
        <w:t xml:space="preserve">的续费口径，而不是撮合</w:t>
      </w:r>
      <w:r>
        <w:t xml:space="preserve"> GMV。」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ERP，右边是星选履约网，中间注册表打通。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我们还几乎没收到订阅费。500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天使湾八问；邮件浙商、温州基金、梅花、真格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2026-09-06T07:58:18Z</dcterms:created>
  <dcterms:modified xsi:type="dcterms:W3CDTF">2026-09-06T07:58:18Z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