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F027" w14:textId="3BA102E5" w:rsidR="003E2114" w:rsidRPr="0099250C" w:rsidRDefault="003E2114" w:rsidP="0099250C">
      <w:pPr>
        <w:pStyle w:val="NormalWeb"/>
        <w:jc w:val="center"/>
        <w:rPr>
          <w:rFonts w:ascii="Arial" w:hAnsi="Arial" w:cs="Arial"/>
          <w:b/>
          <w:bCs/>
          <w:sz w:val="36"/>
          <w:szCs w:val="36"/>
        </w:rPr>
      </w:pPr>
      <w:r w:rsidRPr="0099250C">
        <w:rPr>
          <w:rFonts w:ascii="Arial" w:hAnsi="Arial" w:cs="Arial"/>
          <w:b/>
          <w:bCs/>
          <w:sz w:val="36"/>
          <w:szCs w:val="36"/>
        </w:rPr>
        <w:t>Análisis de Causa Raíz de Demoras Operativas y Confiabilidad de Flota.</w:t>
      </w:r>
    </w:p>
    <w:p w14:paraId="53BDE022" w14:textId="0F768206" w:rsidR="003E2114" w:rsidRPr="003E2114" w:rsidRDefault="003E2114" w:rsidP="003E2114">
      <w:pPr>
        <w:pStyle w:val="NormalWeb"/>
        <w:spacing w:line="360" w:lineRule="auto"/>
        <w:rPr>
          <w:rFonts w:ascii="Arial" w:hAnsi="Arial" w:cs="Arial"/>
        </w:rPr>
      </w:pPr>
      <w:r w:rsidRPr="003E2114">
        <w:rPr>
          <w:rFonts w:ascii="Arial" w:hAnsi="Arial" w:cs="Arial"/>
          <w:b/>
          <w:bCs/>
        </w:rPr>
        <w:t>Contexto:</w:t>
      </w:r>
      <w:r w:rsidRPr="003E2114">
        <w:rPr>
          <w:rFonts w:ascii="Arial" w:hAnsi="Arial" w:cs="Arial"/>
        </w:rPr>
        <w:t xml:space="preserve"> Se analizaron 547,271 vuelos comerciales para identificar ineficiencias técnicas.</w:t>
      </w:r>
    </w:p>
    <w:p w14:paraId="364C5BA2" w14:textId="731116A3" w:rsidR="003E2114" w:rsidRPr="003E2114" w:rsidRDefault="003E2114" w:rsidP="003E2114">
      <w:pPr>
        <w:pStyle w:val="NormalWeb"/>
        <w:spacing w:line="360" w:lineRule="auto"/>
        <w:rPr>
          <w:rFonts w:ascii="Arial" w:hAnsi="Arial" w:cs="Arial"/>
        </w:rPr>
      </w:pPr>
      <w:r w:rsidRPr="003E2114">
        <w:rPr>
          <w:rFonts w:ascii="Arial" w:hAnsi="Arial" w:cs="Arial"/>
          <w:b/>
          <w:bCs/>
        </w:rPr>
        <w:t>Hallazgos Clave:</w:t>
      </w:r>
    </w:p>
    <w:p w14:paraId="2A64232E" w14:textId="77777777" w:rsidR="003E2114" w:rsidRPr="003E2114" w:rsidRDefault="003E2114" w:rsidP="003E211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2114">
        <w:rPr>
          <w:rFonts w:ascii="Arial" w:hAnsi="Arial" w:cs="Arial"/>
          <w:b/>
          <w:bCs/>
        </w:rPr>
        <w:t>La "Crisis de la Mediana Edad":</w:t>
      </w:r>
      <w:r w:rsidRPr="003E2114">
        <w:rPr>
          <w:rFonts w:ascii="Arial" w:hAnsi="Arial" w:cs="Arial"/>
        </w:rPr>
        <w:t xml:space="preserve"> Las aeronaves pierden su "inmunidad" operativa a partir del </w:t>
      </w:r>
      <w:r w:rsidRPr="003E2114">
        <w:rPr>
          <w:rFonts w:ascii="Arial" w:hAnsi="Arial" w:cs="Arial"/>
          <w:b/>
          <w:bCs/>
        </w:rPr>
        <w:t>4º año</w:t>
      </w:r>
      <w:r w:rsidRPr="003E2114">
        <w:rPr>
          <w:rFonts w:ascii="Arial" w:hAnsi="Arial" w:cs="Arial"/>
        </w:rPr>
        <w:t xml:space="preserve"> de vida, estabilizando sus retrasos técnicos en ~25 minutos por vuelo.</w:t>
      </w:r>
    </w:p>
    <w:p w14:paraId="5EA66092" w14:textId="77777777" w:rsidR="003E2114" w:rsidRPr="003E2114" w:rsidRDefault="003E2114" w:rsidP="003E211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2114">
        <w:rPr>
          <w:rFonts w:ascii="Arial" w:hAnsi="Arial" w:cs="Arial"/>
          <w:b/>
          <w:bCs/>
        </w:rPr>
        <w:t>El Factor Regional:</w:t>
      </w:r>
      <w:r w:rsidRPr="003E2114">
        <w:rPr>
          <w:rFonts w:ascii="Arial" w:hAnsi="Arial" w:cs="Arial"/>
        </w:rPr>
        <w:t xml:space="preserve"> Contrario a la creencia popular, los grandes fabricantes (Boeing/Airbus) no son los mayores causantes de demoras técnicas. La flota regional (</w:t>
      </w:r>
      <w:proofErr w:type="spellStart"/>
      <w:r w:rsidRPr="003E2114">
        <w:rPr>
          <w:rFonts w:ascii="Arial" w:hAnsi="Arial" w:cs="Arial"/>
          <w:b/>
          <w:bCs/>
        </w:rPr>
        <w:t>Bombardier</w:t>
      </w:r>
      <w:proofErr w:type="spellEnd"/>
      <w:r w:rsidRPr="003E2114">
        <w:rPr>
          <w:rFonts w:ascii="Arial" w:hAnsi="Arial" w:cs="Arial"/>
          <w:b/>
          <w:bCs/>
        </w:rPr>
        <w:t xml:space="preserve"> CRJ</w:t>
      </w:r>
      <w:r w:rsidRPr="003E2114">
        <w:rPr>
          <w:rFonts w:ascii="Arial" w:hAnsi="Arial" w:cs="Arial"/>
        </w:rPr>
        <w:t xml:space="preserve">) presenta un </w:t>
      </w:r>
      <w:r w:rsidRPr="003E2114">
        <w:rPr>
          <w:rFonts w:ascii="Arial" w:hAnsi="Arial" w:cs="Arial"/>
          <w:b/>
          <w:bCs/>
        </w:rPr>
        <w:t>80% más de tiempo de inactividad</w:t>
      </w:r>
      <w:r w:rsidRPr="003E2114">
        <w:rPr>
          <w:rFonts w:ascii="Arial" w:hAnsi="Arial" w:cs="Arial"/>
        </w:rPr>
        <w:t xml:space="preserve"> promedio por vuelo que la flota troncal.</w:t>
      </w:r>
    </w:p>
    <w:p w14:paraId="153469A4" w14:textId="18C660C6" w:rsidR="003E2114" w:rsidRPr="003E2114" w:rsidRDefault="003E2114" w:rsidP="003E2114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E2114">
        <w:rPr>
          <w:rFonts w:ascii="Arial" w:hAnsi="Arial" w:cs="Arial"/>
          <w:b/>
          <w:bCs/>
        </w:rPr>
        <w:t>Impacto:</w:t>
      </w:r>
      <w:r w:rsidRPr="003E2114">
        <w:rPr>
          <w:rFonts w:ascii="Arial" w:hAnsi="Arial" w:cs="Arial"/>
        </w:rPr>
        <w:t xml:space="preserve"> El 22.34% de los vuelos sufren retrasos, siendo la flota envejecida de jets regionales el punto crítico de dolor.</w:t>
      </w:r>
    </w:p>
    <w:p w14:paraId="34A43A5A" w14:textId="77777777" w:rsidR="003E2114" w:rsidRPr="003E2114" w:rsidRDefault="003E2114" w:rsidP="003E21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3E2114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Fuente de Datos:</w:t>
      </w:r>
      <w:r w:rsidRPr="003E211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Bureau of Transportation Statistics (BTS) + FAA Aircraft Registry.</w:t>
      </w:r>
    </w:p>
    <w:p w14:paraId="1B5F53C8" w14:textId="77777777" w:rsidR="003E2114" w:rsidRPr="003E2114" w:rsidRDefault="003E2114" w:rsidP="003E211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E211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Procesamiento (ETL):</w:t>
      </w:r>
    </w:p>
    <w:p w14:paraId="331DE544" w14:textId="77777777" w:rsidR="003E2114" w:rsidRPr="003E2114" w:rsidRDefault="003E2114" w:rsidP="003E2114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>Unión (</w:t>
      </w:r>
      <w:proofErr w:type="spellStart"/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>Join</w:t>
      </w:r>
      <w:proofErr w:type="spellEnd"/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 xml:space="preserve">) de tablas mediante </w:t>
      </w:r>
      <w:proofErr w:type="spellStart"/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>Tail_Number</w:t>
      </w:r>
      <w:proofErr w:type="spellEnd"/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 xml:space="preserve"> (Matrícula).</w:t>
      </w:r>
    </w:p>
    <w:p w14:paraId="1CF131BB" w14:textId="77777777" w:rsidR="003E2114" w:rsidRPr="003E2114" w:rsidRDefault="003E2114" w:rsidP="003E2114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>Limpieza de códigos de fabricante (MFR_MDL_CODE) usando tablas de referencia cruzada.</w:t>
      </w:r>
    </w:p>
    <w:p w14:paraId="6944886F" w14:textId="575F4C50" w:rsidR="003E2114" w:rsidRPr="00EB4806" w:rsidRDefault="003E2114" w:rsidP="00EB4806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E2114">
        <w:rPr>
          <w:rFonts w:ascii="Arial" w:eastAsia="Times New Roman" w:hAnsi="Arial" w:cs="Arial"/>
          <w:kern w:val="0"/>
          <w:lang w:eastAsia="es-MX"/>
          <w14:ligatures w14:val="none"/>
        </w:rPr>
        <w:t>Cálculo de edad de la aeronave dinámico (Fecha Vuelo - Año Fabricación).</w:t>
      </w:r>
    </w:p>
    <w:p w14:paraId="5DDEBC55" w14:textId="474D59C1" w:rsidR="003E2114" w:rsidRDefault="003E2114" w:rsidP="003E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E211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Evidencia Visual</w:t>
      </w:r>
    </w:p>
    <w:p w14:paraId="6685160C" w14:textId="00AC566F" w:rsidR="00EB4806" w:rsidRDefault="00EB4806" w:rsidP="003E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6E7C9A8A" wp14:editId="38AC16D5">
            <wp:extent cx="5612130" cy="774065"/>
            <wp:effectExtent l="19050" t="19050" r="26670" b="26035"/>
            <wp:docPr id="203700391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3919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9827F" w14:textId="3E62BBD4" w:rsidR="00EB4806" w:rsidRDefault="00EB4806" w:rsidP="003E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225C76D9" w14:textId="46C0100B" w:rsidR="00EB4806" w:rsidRDefault="00EB4806" w:rsidP="003E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7B24A87E" w14:textId="090FC64F" w:rsidR="00EB4806" w:rsidRPr="003E2114" w:rsidRDefault="00EB4806" w:rsidP="003E211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E2114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22B4BBE0" wp14:editId="16AE7193">
            <wp:simplePos x="0" y="0"/>
            <wp:positionH relativeFrom="margin">
              <wp:align>center</wp:align>
            </wp:positionH>
            <wp:positionV relativeFrom="paragraph">
              <wp:posOffset>14723</wp:posOffset>
            </wp:positionV>
            <wp:extent cx="4513714" cy="2870791"/>
            <wp:effectExtent l="19050" t="19050" r="20320" b="25400"/>
            <wp:wrapTight wrapText="bothSides">
              <wp:wrapPolygon edited="0">
                <wp:start x="-91" y="-143"/>
                <wp:lineTo x="-91" y="21648"/>
                <wp:lineTo x="21606" y="21648"/>
                <wp:lineTo x="21606" y="-143"/>
                <wp:lineTo x="-91" y="-143"/>
              </wp:wrapPolygon>
            </wp:wrapTight>
            <wp:docPr id="83546880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8806" name="Imagen 1" descr="Gráfico, Gráfico de líneas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714" cy="287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4DA5B6" w14:textId="6276F7DD" w:rsidR="001F6FBB" w:rsidRDefault="001F6FBB"/>
    <w:p w14:paraId="371CEF22" w14:textId="77777777" w:rsidR="00EB4806" w:rsidRDefault="00EB4806"/>
    <w:p w14:paraId="52DA3969" w14:textId="77777777" w:rsidR="00EB4806" w:rsidRDefault="00EB4806"/>
    <w:p w14:paraId="63CAEF75" w14:textId="77777777" w:rsidR="00EB4806" w:rsidRDefault="00EB4806"/>
    <w:p w14:paraId="78975EAF" w14:textId="77777777" w:rsidR="00EB4806" w:rsidRDefault="00EB4806"/>
    <w:p w14:paraId="5CD71EC3" w14:textId="77777777" w:rsidR="00EB4806" w:rsidRDefault="00EB4806"/>
    <w:p w14:paraId="51DA095B" w14:textId="77777777" w:rsidR="00EB4806" w:rsidRDefault="00EB4806"/>
    <w:p w14:paraId="54B6559E" w14:textId="3BC87C78" w:rsidR="00EB4806" w:rsidRDefault="00EB4806"/>
    <w:p w14:paraId="6CFE6CF6" w14:textId="1974E44E" w:rsidR="00EB4806" w:rsidRDefault="00EB4806"/>
    <w:p w14:paraId="5E032503" w14:textId="4AC225F5" w:rsidR="00EB4806" w:rsidRDefault="00EB4806"/>
    <w:p w14:paraId="28AB4764" w14:textId="34673604" w:rsidR="00EB4806" w:rsidRDefault="00897043">
      <w:r>
        <w:rPr>
          <w:noProof/>
        </w:rPr>
        <w:drawing>
          <wp:anchor distT="0" distB="0" distL="114300" distR="114300" simplePos="0" relativeHeight="251659264" behindDoc="1" locked="0" layoutInCell="1" allowOverlap="1" wp14:anchorId="1AD1A926" wp14:editId="768FFB56">
            <wp:simplePos x="0" y="0"/>
            <wp:positionH relativeFrom="margin">
              <wp:align>center</wp:align>
            </wp:positionH>
            <wp:positionV relativeFrom="paragraph">
              <wp:posOffset>28353</wp:posOffset>
            </wp:positionV>
            <wp:extent cx="4519930" cy="3435985"/>
            <wp:effectExtent l="19050" t="19050" r="13970" b="12065"/>
            <wp:wrapTight wrapText="bothSides">
              <wp:wrapPolygon edited="0">
                <wp:start x="-91" y="-120"/>
                <wp:lineTo x="-91" y="21556"/>
                <wp:lineTo x="21576" y="21556"/>
                <wp:lineTo x="21576" y="-120"/>
                <wp:lineTo x="-91" y="-120"/>
              </wp:wrapPolygon>
            </wp:wrapTight>
            <wp:docPr id="58921114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1148" name="Imagen 1" descr="Gráfico, Gráfico de barras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343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7EFE2" w14:textId="51FB42E7" w:rsidR="00EB4806" w:rsidRDefault="00EB4806"/>
    <w:sectPr w:rsidR="00EB4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0D3E"/>
    <w:multiLevelType w:val="multilevel"/>
    <w:tmpl w:val="5E0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C0A3A"/>
    <w:multiLevelType w:val="multilevel"/>
    <w:tmpl w:val="EBBA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793198">
    <w:abstractNumId w:val="1"/>
  </w:num>
  <w:num w:numId="2" w16cid:durableId="210306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14"/>
    <w:rsid w:val="001F6FBB"/>
    <w:rsid w:val="00246024"/>
    <w:rsid w:val="00366D47"/>
    <w:rsid w:val="003E2114"/>
    <w:rsid w:val="006B1E14"/>
    <w:rsid w:val="007334E3"/>
    <w:rsid w:val="008609C0"/>
    <w:rsid w:val="00897043"/>
    <w:rsid w:val="0099250C"/>
    <w:rsid w:val="00E47AC7"/>
    <w:rsid w:val="00EB4806"/>
    <w:rsid w:val="00F4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3356"/>
  <w15:chartTrackingRefBased/>
  <w15:docId w15:val="{05B8C95A-37B8-4A9C-BC28-CB1E16F6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E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E2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1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1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1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E21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Ayala Chavarria</dc:creator>
  <cp:keywords/>
  <dc:description/>
  <cp:lastModifiedBy>Kevin Ayala Chavarria</cp:lastModifiedBy>
  <cp:revision>32</cp:revision>
  <dcterms:created xsi:type="dcterms:W3CDTF">2025-12-25T22:45:00Z</dcterms:created>
  <dcterms:modified xsi:type="dcterms:W3CDTF">2025-12-25T23:03:00Z</dcterms:modified>
</cp:coreProperties>
</file>