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A5F" w:color="auto" w:val="clear"/>
            <w:tcMar>
              <w:top w:type="dxa" w:w="500"/>
              <w:left w:type="dxa" w:w="400"/>
              <w:bottom w:type="dxa" w:w="500"/>
              <w:right w:type="dxa" w:w="400"/>
            </w:tcMar>
          </w:tcPr>
          <w:p>
            <w:pPr>
              <w:spacing w:after="60"/>
            </w:pPr>
            <w:r>
              <w:rPr>
                <w:b/>
                <w:bCs/>
                <w:color w:val="FFFFFF"/>
                <w:sz w:val="72"/>
                <w:szCs w:val="72"/>
              </w:rPr>
              <w:t xml:space="preserve">Not</w:t>
            </w:r>
            <w:r>
              <w:rPr>
                <w:b/>
                <w:bCs/>
                <w:color w:val="8FC1EA"/>
                <w:sz w:val="72"/>
                <w:szCs w:val="72"/>
              </w:rPr>
              <w:t xml:space="preserve">Age</w:t>
            </w:r>
          </w:p>
          <w:p>
            <w:r>
              <w:rPr>
                <w:color w:val="D6E4F0"/>
                <w:sz w:val="22"/>
                <w:szCs w:val="22"/>
              </w:rPr>
              <w:t xml:space="preserve">Gestion des dépenses professionnelles</w:t>
            </w:r>
          </w:p>
        </w:tc>
      </w:tr>
    </w:tbl>
    <w:p>
      <w:pPr>
        <w:spacing w:before="1300"/>
      </w:pPr>
    </w:p>
    <w:p>
      <w:pPr>
        <w:spacing w:after="0"/>
      </w:pPr>
      <w:r>
        <w:rPr>
          <w:b/>
          <w:bCs/>
          <w:color w:val="1F3A5F"/>
          <w:sz w:val="56"/>
          <w:szCs w:val="56"/>
        </w:rPr>
        <w:t xml:space="preserve">Politique de sécurité</w:t>
      </w:r>
    </w:p>
    <w:p>
      <w:pPr>
        <w:spacing w:after="200"/>
      </w:pPr>
      <w:r>
        <w:rPr>
          <w:b/>
          <w:bCs/>
          <w:color w:val="1F3A5F"/>
          <w:sz w:val="56"/>
          <w:szCs w:val="56"/>
        </w:rPr>
        <w:t xml:space="preserve">des systèmes d'information</w:t>
      </w:r>
    </w:p>
    <w:p>
      <w:pPr>
        <w:pBdr>
          <w:bottom w:val="single" w:color="2E75B6" w:sz="12" w:space="12"/>
        </w:pBdr>
        <w:spacing w:after="900"/>
      </w:pPr>
      <w:r>
        <w:rPr>
          <w:color w:val="2E75B6"/>
          <w:sz w:val="28"/>
          <w:szCs w:val="28"/>
        </w:rPr>
        <w:t xml:space="preserve">PSSI — règles de sécurité applicables à tous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9D3DE" w:sz="4"/>
              <w:left w:val="single" w:color="C9D3DE" w:sz="4"/>
              <w:bottom w:val="single" w:color="C9D3DE" w:sz="4"/>
              <w:right w:val="single" w:color="C9D3DE" w:sz="4"/>
            </w:tcBorders>
            <w:shd w:fill="EAF1F8" w:color="auto" w:val="clear"/>
            <w:tcMar>
              <w:top w:type="dxa" w:w="60"/>
              <w:left w:type="dxa" w:w="100"/>
              <w:bottom w:type="dxa" w:w="60"/>
              <w:right w:type="dxa" w:w="100"/>
            </w:tcMar>
          </w:tcPr>
          <w:p>
            <w:pPr>
              <w:spacing w:after="0" w:line="252"/>
            </w:pPr>
            <w:r>
              <w:rPr>
                <w:b/>
                <w:bCs/>
                <w:i w:val="false"/>
                <w:iCs w:val="false"/>
                <w:sz w:val="20"/>
                <w:szCs w:val="20"/>
              </w:rPr>
              <w:t xml:space="preserve">Référence</w:t>
            </w:r>
          </w:p>
        </w:tc>
        <w:tc>
          <w:tcPr>
            <w:tcW w:type="dxa" w:w="7038"/>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0" w:line="252"/>
            </w:pPr>
            <w:r>
              <w:rPr>
                <w:b w:val="false"/>
                <w:bCs w:val="false"/>
                <w:i w:val="false"/>
                <w:iCs w:val="false"/>
                <w:sz w:val="20"/>
                <w:szCs w:val="20"/>
              </w:rPr>
              <w:t xml:space="preserve">NTG-SMSI-PSSI-001</w:t>
            </w:r>
          </w:p>
        </w:tc>
      </w:tr>
      <w:tr>
        <w:tc>
          <w:tcPr>
            <w:tcW w:type="dxa" w:w="2600"/>
            <w:tcBorders>
              <w:top w:val="single" w:color="C9D3DE" w:sz="4"/>
              <w:left w:val="single" w:color="C9D3DE" w:sz="4"/>
              <w:bottom w:val="single" w:color="C9D3DE" w:sz="4"/>
              <w:right w:val="single" w:color="C9D3DE" w:sz="4"/>
            </w:tcBorders>
            <w:shd w:fill="EAF1F8" w:color="auto" w:val="clear"/>
            <w:tcMar>
              <w:top w:type="dxa" w:w="60"/>
              <w:left w:type="dxa" w:w="100"/>
              <w:bottom w:type="dxa" w:w="60"/>
              <w:right w:type="dxa" w:w="100"/>
            </w:tcMar>
          </w:tcPr>
          <w:p>
            <w:pPr>
              <w:spacing w:after="0" w:line="252"/>
            </w:pPr>
            <w:r>
              <w:rPr>
                <w:b/>
                <w:bCs/>
                <w:i w:val="false"/>
                <w:iCs w:val="false"/>
                <w:sz w:val="20"/>
                <w:szCs w:val="20"/>
              </w:rPr>
              <w:t xml:space="preserve">Version</w:t>
            </w:r>
          </w:p>
        </w:tc>
        <w:tc>
          <w:tcPr>
            <w:tcW w:type="dxa" w:w="7038"/>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0" w:line="252"/>
            </w:pPr>
            <w:r>
              <w:rPr>
                <w:b w:val="false"/>
                <w:bCs w:val="false"/>
                <w:i w:val="false"/>
                <w:iCs w:val="false"/>
                <w:sz w:val="20"/>
                <w:szCs w:val="20"/>
              </w:rPr>
              <w:t xml:space="preserve">1.0 du 27 septembre 2026</w:t>
            </w:r>
          </w:p>
        </w:tc>
      </w:tr>
      <w:tr>
        <w:tc>
          <w:tcPr>
            <w:tcW w:type="dxa" w:w="2600"/>
            <w:tcBorders>
              <w:top w:val="single" w:color="C9D3DE" w:sz="4"/>
              <w:left w:val="single" w:color="C9D3DE" w:sz="4"/>
              <w:bottom w:val="single" w:color="C9D3DE" w:sz="4"/>
              <w:right w:val="single" w:color="C9D3DE" w:sz="4"/>
            </w:tcBorders>
            <w:shd w:fill="EAF1F8" w:color="auto" w:val="clear"/>
            <w:tcMar>
              <w:top w:type="dxa" w:w="60"/>
              <w:left w:type="dxa" w:w="100"/>
              <w:bottom w:type="dxa" w:w="60"/>
              <w:right w:type="dxa" w:w="100"/>
            </w:tcMar>
          </w:tcPr>
          <w:p>
            <w:pPr>
              <w:spacing w:after="0" w:line="252"/>
            </w:pPr>
            <w:r>
              <w:rPr>
                <w:b/>
                <w:bCs/>
                <w:i w:val="false"/>
                <w:iCs w:val="false"/>
                <w:sz w:val="20"/>
                <w:szCs w:val="20"/>
              </w:rPr>
              <w:t xml:space="preserve">Classification</w:t>
            </w:r>
          </w:p>
        </w:tc>
        <w:tc>
          <w:tcPr>
            <w:tcW w:type="dxa" w:w="7038"/>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0" w:line="252"/>
            </w:pPr>
            <w:r>
              <w:rPr>
                <w:b w:val="false"/>
                <w:bCs w:val="false"/>
                <w:i w:val="false"/>
                <w:iCs w:val="false"/>
                <w:sz w:val="20"/>
                <w:szCs w:val="20"/>
              </w:rPr>
              <w:t xml:space="preserve">Interne</w:t>
            </w:r>
          </w:p>
        </w:tc>
      </w:tr>
      <w:tr>
        <w:tc>
          <w:tcPr>
            <w:tcW w:type="dxa" w:w="2600"/>
            <w:tcBorders>
              <w:top w:val="single" w:color="C9D3DE" w:sz="4"/>
              <w:left w:val="single" w:color="C9D3DE" w:sz="4"/>
              <w:bottom w:val="single" w:color="C9D3DE" w:sz="4"/>
              <w:right w:val="single" w:color="C9D3DE" w:sz="4"/>
            </w:tcBorders>
            <w:shd w:fill="EAF1F8" w:color="auto" w:val="clear"/>
            <w:tcMar>
              <w:top w:type="dxa" w:w="60"/>
              <w:left w:type="dxa" w:w="100"/>
              <w:bottom w:type="dxa" w:w="60"/>
              <w:right w:type="dxa" w:w="100"/>
            </w:tcMar>
          </w:tcPr>
          <w:p>
            <w:pPr>
              <w:spacing w:after="0" w:line="252"/>
            </w:pPr>
            <w:r>
              <w:rPr>
                <w:b/>
                <w:bCs/>
                <w:i w:val="false"/>
                <w:iCs w:val="false"/>
                <w:sz w:val="20"/>
                <w:szCs w:val="20"/>
              </w:rPr>
              <w:t xml:space="preserve">Propriétaire</w:t>
            </w:r>
          </w:p>
        </w:tc>
        <w:tc>
          <w:tcPr>
            <w:tcW w:type="dxa" w:w="7038"/>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0" w:line="252"/>
            </w:pPr>
            <w:r>
              <w:rPr>
                <w:b w:val="false"/>
                <w:bCs w:val="false"/>
                <w:i w:val="false"/>
                <w:iCs w:val="false"/>
                <w:sz w:val="20"/>
                <w:szCs w:val="20"/>
              </w:rPr>
              <w:t xml:space="preserve">RSSI</w:t>
            </w:r>
          </w:p>
        </w:tc>
      </w:tr>
      <w:tr>
        <w:tc>
          <w:tcPr>
            <w:tcW w:type="dxa" w:w="2600"/>
            <w:tcBorders>
              <w:top w:val="single" w:color="C9D3DE" w:sz="4"/>
              <w:left w:val="single" w:color="C9D3DE" w:sz="4"/>
              <w:bottom w:val="single" w:color="C9D3DE" w:sz="4"/>
              <w:right w:val="single" w:color="C9D3DE" w:sz="4"/>
            </w:tcBorders>
            <w:shd w:fill="EAF1F8" w:color="auto" w:val="clear"/>
            <w:tcMar>
              <w:top w:type="dxa" w:w="60"/>
              <w:left w:type="dxa" w:w="100"/>
              <w:bottom w:type="dxa" w:w="60"/>
              <w:right w:type="dxa" w:w="100"/>
            </w:tcMar>
          </w:tcPr>
          <w:p>
            <w:pPr>
              <w:spacing w:after="0" w:line="252"/>
            </w:pPr>
            <w:r>
              <w:rPr>
                <w:b/>
                <w:bCs/>
                <w:i w:val="false"/>
                <w:iCs w:val="false"/>
                <w:sz w:val="20"/>
                <w:szCs w:val="20"/>
              </w:rPr>
              <w:t xml:space="preserve">Approbateur</w:t>
            </w:r>
          </w:p>
        </w:tc>
        <w:tc>
          <w:tcPr>
            <w:tcW w:type="dxa" w:w="7038"/>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0" w:line="252"/>
            </w:pPr>
            <w:r>
              <w:rPr>
                <w:b w:val="false"/>
                <w:bCs w:val="false"/>
                <w:i w:val="false"/>
                <w:iCs w:val="false"/>
                <w:sz w:val="20"/>
                <w:szCs w:val="20"/>
              </w:rPr>
              <w:t xml:space="preserve">Direction générale (CEO)</w:t>
            </w:r>
          </w:p>
        </w:tc>
      </w:tr>
      <w:tr>
        <w:tc>
          <w:tcPr>
            <w:tcW w:type="dxa" w:w="2600"/>
            <w:tcBorders>
              <w:top w:val="single" w:color="C9D3DE" w:sz="4"/>
              <w:left w:val="single" w:color="C9D3DE" w:sz="4"/>
              <w:bottom w:val="single" w:color="C9D3DE" w:sz="4"/>
              <w:right w:val="single" w:color="C9D3DE" w:sz="4"/>
            </w:tcBorders>
            <w:shd w:fill="EAF1F8" w:color="auto" w:val="clear"/>
            <w:tcMar>
              <w:top w:type="dxa" w:w="60"/>
              <w:left w:type="dxa" w:w="100"/>
              <w:bottom w:type="dxa" w:w="60"/>
              <w:right w:type="dxa" w:w="100"/>
            </w:tcMar>
          </w:tcPr>
          <w:p>
            <w:pPr>
              <w:spacing w:after="0" w:line="252"/>
            </w:pPr>
            <w:r>
              <w:rPr>
                <w:b/>
                <w:bCs/>
                <w:i w:val="false"/>
                <w:iCs w:val="false"/>
                <w:sz w:val="20"/>
                <w:szCs w:val="20"/>
              </w:rPr>
              <w:t xml:space="preserve">Statut</w:t>
            </w:r>
          </w:p>
        </w:tc>
        <w:tc>
          <w:tcPr>
            <w:tcW w:type="dxa" w:w="7038"/>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0" w:line="252"/>
            </w:pPr>
            <w:r>
              <w:rPr>
                <w:b w:val="false"/>
                <w:bCs w:val="false"/>
                <w:i w:val="false"/>
                <w:iCs w:val="false"/>
                <w:sz w:val="20"/>
                <w:szCs w:val="20"/>
              </w:rPr>
              <w:t xml:space="preserve">Approuvé</w:t>
            </w:r>
          </w:p>
        </w:tc>
      </w:tr>
      <w:tr>
        <w:tc>
          <w:tcPr>
            <w:tcW w:type="dxa" w:w="2600"/>
            <w:tcBorders>
              <w:top w:val="single" w:color="C9D3DE" w:sz="4"/>
              <w:left w:val="single" w:color="C9D3DE" w:sz="4"/>
              <w:bottom w:val="single" w:color="C9D3DE" w:sz="4"/>
              <w:right w:val="single" w:color="C9D3DE" w:sz="4"/>
            </w:tcBorders>
            <w:shd w:fill="EAF1F8" w:color="auto" w:val="clear"/>
            <w:tcMar>
              <w:top w:type="dxa" w:w="60"/>
              <w:left w:type="dxa" w:w="100"/>
              <w:bottom w:type="dxa" w:w="60"/>
              <w:right w:type="dxa" w:w="100"/>
            </w:tcMar>
          </w:tcPr>
          <w:p>
            <w:pPr>
              <w:spacing w:after="0" w:line="252"/>
            </w:pPr>
            <w:r>
              <w:rPr>
                <w:b/>
                <w:bCs/>
                <w:i w:val="false"/>
                <w:iCs w:val="false"/>
                <w:sz w:val="20"/>
                <w:szCs w:val="20"/>
              </w:rPr>
              <w:t xml:space="preserve">Exigences couvertes</w:t>
            </w:r>
          </w:p>
        </w:tc>
        <w:tc>
          <w:tcPr>
            <w:tcW w:type="dxa" w:w="7038"/>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0" w:line="252"/>
            </w:pPr>
            <w:r>
              <w:rPr>
                <w:b w:val="false"/>
                <w:bCs w:val="false"/>
                <w:i w:val="false"/>
                <w:iCs w:val="false"/>
                <w:sz w:val="20"/>
                <w:szCs w:val="20"/>
              </w:rPr>
              <w:t xml:space="preserve">ISO/IEC 27001:2022, article 5.2 et article 7.5.1 b) ; annexe A, mesure 5.1</w:t>
            </w:r>
          </w:p>
        </w:tc>
      </w:tr>
    </w:tbl>
    <w:p>
      <w:pPr>
        <w:spacing w:before="1500"/>
      </w:pPr>
    </w:p>
    <w:p>
      <w:r>
        <w:rPr>
          <w:i/>
          <w:iCs/>
          <w:color w:val="666666"/>
          <w:sz w:val="17"/>
          <w:szCs w:val="17"/>
        </w:rPr>
        <w:t xml:space="preserve">Document de démonstration. NotAge est une entreprise fictive, créée pour un projet de portfolio en gouvernance de la sécurité. Toute ressemblance avec une entreprise existante serait fortuite.</w:t>
      </w:r>
    </w:p>
    <w:p>
      <w:pPr>
        <w:sectPr>
          <w:headerReference w:type="default" r:id="rId7"/>
          <w:pgSz w:w="11906" w:h="16838" w:orient="portrait"/>
          <w:pgMar w:top="1134" w:right="1134" w:bottom="1134" w:left="1134" w:header="708" w:footer="708" w:gutter="0"/>
          <w:pgNumType/>
          <w:docGrid w:linePitch="360"/>
        </w:sectPr>
      </w:pPr>
    </w:p>
    <w:p>
      <w:pPr>
        <w:pStyle w:val="Heading2"/>
      </w:pPr>
      <w:r>
        <w:t xml:space="preserve">Maîtrise du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300"/>
        <w:gridCol w:w="5638"/>
      </w:tblGrid>
      <w:tr>
        <w:trPr>
          <w:cantSplit/>
          <w:tblHeader/>
        </w:trPr>
        <w:tc>
          <w:tcPr>
            <w:tcW w:type="dxa" w:w="12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Version</w:t>
            </w:r>
          </w:p>
        </w:tc>
        <w:tc>
          <w:tcPr>
            <w:tcW w:type="dxa" w:w="15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Date</w:t>
            </w:r>
          </w:p>
        </w:tc>
        <w:tc>
          <w:tcPr>
            <w:tcW w:type="dxa" w:w="13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Auteur</w:t>
            </w:r>
          </w:p>
        </w:tc>
        <w:tc>
          <w:tcPr>
            <w:tcW w:type="dxa" w:w="5638"/>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Objet de la version</w:t>
            </w:r>
          </w:p>
        </w:tc>
      </w:tr>
      <w:tr>
        <w:trPr>
          <w:cantSplit/>
        </w:trPr>
        <w:tc>
          <w:tcPr>
            <w:tcW w:type="dxa" w:w="12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0.1</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20/09/2026</w:t>
            </w:r>
          </w:p>
        </w:tc>
        <w:tc>
          <w:tcPr>
            <w:tcW w:type="dxa" w:w="13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RSSI</w:t>
            </w:r>
          </w:p>
        </w:tc>
        <w:tc>
          <w:tcPr>
            <w:tcW w:type="dxa" w:w="56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Projet soumis au comité de sécurité</w:t>
            </w:r>
          </w:p>
        </w:tc>
      </w:tr>
      <w:tr>
        <w:trPr>
          <w:cantSplit/>
        </w:trPr>
        <w:tc>
          <w:tcPr>
            <w:tcW w:type="dxa" w:w="12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1.0</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27/09/2026</w:t>
            </w:r>
          </w:p>
        </w:tc>
        <w:tc>
          <w:tcPr>
            <w:tcW w:type="dxa" w:w="13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RSSI</w:t>
            </w:r>
          </w:p>
        </w:tc>
        <w:tc>
          <w:tcPr>
            <w:tcW w:type="dxa" w:w="56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Version approuvée par la direction générale ; intègre les mesures du plan de traitement des risques</w:t>
            </w:r>
          </w:p>
        </w:tc>
      </w:tr>
    </w:tbl>
    <w:p>
      <w:pPr>
        <w:spacing w:after="80"/>
      </w:pPr>
    </w:p>
    <w:p>
      <w:pPr>
        <w:spacing w:after="100" w:line="264"/>
      </w:pPr>
      <w:r>
        <w:rPr>
          <w:b/>
          <w:bCs/>
          <w:i w:val="false"/>
          <w:iCs w:val="false"/>
        </w:rPr>
        <w:t xml:space="preserve">Diffusion</w:t>
      </w:r>
      <w:r>
        <w:rPr>
          <w:b w:val="false"/>
          <w:bCs w:val="false"/>
          <w:i w:val="false"/>
          <w:iCs w:val="false"/>
        </w:rPr>
        <w:t xml:space="preserve"> : tous les salariés, stagiaires et prestataires de NotAge. La PSSI peut être communiquée aux clients et aux auditeurs sur demande, sous engagement de confidentialité. </w:t>
      </w:r>
      <w:r>
        <w:rPr>
          <w:b/>
          <w:bCs/>
          <w:i w:val="false"/>
          <w:iCs w:val="false"/>
        </w:rPr>
        <w:t xml:space="preserve">Prochaine revue</w:t>
      </w:r>
      <w:r>
        <w:rPr>
          <w:b w:val="false"/>
          <w:bCs w:val="false"/>
          <w:i w:val="false"/>
          <w:iCs w:val="false"/>
        </w:rPr>
        <w:t xml:space="preserve"> : septembre 2027 au plus tard.</w:t>
      </w:r>
    </w:p>
    <w:p>
      <w:pPr>
        <w:pStyle w:val="Heading2"/>
        <w:keepNext/>
      </w:pPr>
      <w:r>
        <w:t xml:space="preserve">Documents de référence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Référence</w:t>
            </w:r>
          </w:p>
        </w:tc>
        <w:tc>
          <w:tcPr>
            <w:tcW w:type="dxa" w:w="6838"/>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Document</w:t>
            </w:r>
          </w:p>
        </w:tc>
      </w:tr>
      <w:tr>
        <w:trPr>
          <w:cantSplit/>
        </w:trPr>
        <w:tc>
          <w:tcPr>
            <w:tcW w:type="dxa" w:w="28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NTG-SMSI-POL-001</w:t>
            </w:r>
          </w:p>
        </w:tc>
        <w:tc>
          <w:tcPr>
            <w:tcW w:type="dxa" w:w="68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Politique du SMSI</w:t>
            </w:r>
          </w:p>
        </w:tc>
      </w:tr>
      <w:tr>
        <w:trPr>
          <w:cantSplit/>
        </w:trPr>
        <w:tc>
          <w:tcPr>
            <w:tcW w:type="dxa" w:w="28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NTG-SMSI-GOV-001</w:t>
            </w:r>
          </w:p>
        </w:tc>
        <w:tc>
          <w:tcPr>
            <w:tcW w:type="dxa" w:w="68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Organisation de la sécurité et matrice RACI</w:t>
            </w:r>
          </w:p>
        </w:tc>
      </w:tr>
      <w:tr>
        <w:trPr>
          <w:cantSplit/>
        </w:trPr>
        <w:tc>
          <w:tcPr>
            <w:tcW w:type="dxa" w:w="28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NTG-SMSI-CTX-003 / 004</w:t>
            </w:r>
          </w:p>
        </w:tc>
        <w:tc>
          <w:tcPr>
            <w:tcW w:type="dxa" w:w="68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Périmètre du SMSI ; cartographie et inventaire des actifs</w:t>
            </w:r>
          </w:p>
        </w:tc>
      </w:tr>
      <w:tr>
        <w:trPr>
          <w:cantSplit/>
        </w:trPr>
        <w:tc>
          <w:tcPr>
            <w:tcW w:type="dxa" w:w="28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NTG-SMSI-RSK-003 / 004</w:t>
            </w:r>
          </w:p>
        </w:tc>
        <w:tc>
          <w:tcPr>
            <w:tcW w:type="dxa" w:w="68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Rapport d'analyse de risques ; plan de traitement des risques</w:t>
            </w:r>
          </w:p>
        </w:tc>
      </w:tr>
      <w:tr>
        <w:trPr>
          <w:cantSplit/>
        </w:trPr>
        <w:tc>
          <w:tcPr>
            <w:tcW w:type="dxa" w:w="28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NTG-SMSI-DDA-001</w:t>
            </w:r>
          </w:p>
        </w:tc>
        <w:tc>
          <w:tcPr>
            <w:tcW w:type="dxa" w:w="68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Déclaration d'applicabilité</w:t>
            </w:r>
          </w:p>
        </w:tc>
      </w:tr>
      <w:tr>
        <w:trPr>
          <w:cantSplit/>
        </w:trPr>
        <w:tc>
          <w:tcPr>
            <w:tcW w:type="dxa" w:w="28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NTG-SMSI-PRC-001 / 002</w:t>
            </w:r>
          </w:p>
        </w:tc>
        <w:tc>
          <w:tcPr>
            <w:tcW w:type="dxa" w:w="68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Procédures de gestion des incidents et de gestion des accès</w:t>
            </w:r>
          </w:p>
        </w:tc>
      </w:tr>
    </w:tbl>
    <w:p>
      <w:pPr>
        <w:spacing w:after="80"/>
      </w:pPr>
    </w:p>
    <w:p>
      <w:pPr>
        <w:pStyle w:val="Heading2"/>
        <w:keepNext/>
      </w:pPr>
      <w:r>
        <w:t xml:space="preserve">Sommaire</w:t>
      </w:r>
    </w:p>
    <w:p>
      <w:pPr>
        <w:tabs>
          <w:tab w:val="right" w:pos="9638" w:leader="dot"/>
        </w:tabs>
        <w:spacing w:after="70"/>
      </w:pPr>
      <w:r>
        <w:rPr>
          <w:sz w:val="22"/>
          <w:szCs w:val="22"/>
        </w:rPr>
        <w:t xml:space="preserve">1.  Objet, domaine d'application et principes</w:t>
      </w:r>
      <w:r>
        <w:rPr>
          <w:sz w:val="22"/>
          <w:szCs w:val="22"/>
        </w:rPr>
        <w:tab/>
        <w:t xml:space="preserve">3</w:t>
      </w:r>
    </w:p>
    <w:p>
      <w:pPr>
        <w:tabs>
          <w:tab w:val="right" w:pos="9638" w:leader="dot"/>
        </w:tabs>
        <w:spacing w:after="70"/>
      </w:pPr>
      <w:r>
        <w:rPr>
          <w:sz w:val="22"/>
          <w:szCs w:val="22"/>
        </w:rPr>
        <w:t xml:space="preserve">2.  Organisation de la sécurité</w:t>
      </w:r>
      <w:r>
        <w:rPr>
          <w:sz w:val="22"/>
          <w:szCs w:val="22"/>
        </w:rPr>
        <w:tab/>
        <w:t xml:space="preserve">4</w:t>
      </w:r>
    </w:p>
    <w:p>
      <w:pPr>
        <w:tabs>
          <w:tab w:val="right" w:pos="9638" w:leader="dot"/>
        </w:tabs>
        <w:spacing w:after="70"/>
      </w:pPr>
      <w:r>
        <w:rPr>
          <w:sz w:val="22"/>
          <w:szCs w:val="22"/>
        </w:rPr>
        <w:t xml:space="preserve">3.  Gestion des actifs et classification de l'information</w:t>
      </w:r>
      <w:r>
        <w:rPr>
          <w:sz w:val="22"/>
          <w:szCs w:val="22"/>
        </w:rPr>
        <w:tab/>
        <w:t xml:space="preserve">4</w:t>
      </w:r>
    </w:p>
    <w:p>
      <w:pPr>
        <w:tabs>
          <w:tab w:val="right" w:pos="9638" w:leader="dot"/>
        </w:tabs>
        <w:spacing w:after="70"/>
      </w:pPr>
      <w:r>
        <w:rPr>
          <w:sz w:val="22"/>
          <w:szCs w:val="22"/>
        </w:rPr>
        <w:t xml:space="preserve">4.  Ressources humaines et sensibilisation</w:t>
      </w:r>
      <w:r>
        <w:rPr>
          <w:sz w:val="22"/>
          <w:szCs w:val="22"/>
        </w:rPr>
        <w:tab/>
        <w:t xml:space="preserve">5</w:t>
      </w:r>
    </w:p>
    <w:p>
      <w:pPr>
        <w:tabs>
          <w:tab w:val="right" w:pos="9638" w:leader="dot"/>
        </w:tabs>
        <w:spacing w:after="70"/>
      </w:pPr>
      <w:r>
        <w:rPr>
          <w:sz w:val="22"/>
          <w:szCs w:val="22"/>
        </w:rPr>
        <w:t xml:space="preserve">5.  Contrôle d'accès et authentification</w:t>
      </w:r>
      <w:r>
        <w:rPr>
          <w:sz w:val="22"/>
          <w:szCs w:val="22"/>
        </w:rPr>
        <w:tab/>
        <w:t xml:space="preserve">6</w:t>
      </w:r>
    </w:p>
    <w:p>
      <w:pPr>
        <w:tabs>
          <w:tab w:val="right" w:pos="9638" w:leader="dot"/>
        </w:tabs>
        <w:spacing w:after="70"/>
      </w:pPr>
      <w:r>
        <w:rPr>
          <w:sz w:val="22"/>
          <w:szCs w:val="22"/>
        </w:rPr>
        <w:t xml:space="preserve">6.  Postes de travail, mobilité et locaux</w:t>
      </w:r>
      <w:r>
        <w:rPr>
          <w:sz w:val="22"/>
          <w:szCs w:val="22"/>
        </w:rPr>
        <w:tab/>
        <w:t xml:space="preserve">7</w:t>
      </w:r>
    </w:p>
    <w:p>
      <w:pPr>
        <w:tabs>
          <w:tab w:val="right" w:pos="9638" w:leader="dot"/>
        </w:tabs>
        <w:spacing w:after="70"/>
      </w:pPr>
      <w:r>
        <w:rPr>
          <w:sz w:val="22"/>
          <w:szCs w:val="22"/>
        </w:rPr>
        <w:t xml:space="preserve">7.  Infrastructure cloud et exploitation</w:t>
      </w:r>
      <w:r>
        <w:rPr>
          <w:sz w:val="22"/>
          <w:szCs w:val="22"/>
        </w:rPr>
        <w:tab/>
        <w:t xml:space="preserve">7</w:t>
      </w:r>
    </w:p>
    <w:p>
      <w:pPr>
        <w:tabs>
          <w:tab w:val="right" w:pos="9638" w:leader="dot"/>
        </w:tabs>
        <w:spacing w:after="70"/>
      </w:pPr>
      <w:r>
        <w:rPr>
          <w:sz w:val="22"/>
          <w:szCs w:val="22"/>
        </w:rPr>
        <w:t xml:space="preserve">8.  Développement sécurisé et gestion des changements</w:t>
      </w:r>
      <w:r>
        <w:rPr>
          <w:sz w:val="22"/>
          <w:szCs w:val="22"/>
        </w:rPr>
        <w:tab/>
        <w:t xml:space="preserve">8</w:t>
      </w:r>
    </w:p>
    <w:p>
      <w:pPr>
        <w:tabs>
          <w:tab w:val="right" w:pos="9638" w:leader="dot"/>
        </w:tabs>
        <w:spacing w:after="70"/>
      </w:pPr>
      <w:r>
        <w:rPr>
          <w:sz w:val="22"/>
          <w:szCs w:val="22"/>
        </w:rPr>
        <w:t xml:space="preserve">9.  Relations avec les fournisseurs</w:t>
      </w:r>
      <w:r>
        <w:rPr>
          <w:sz w:val="22"/>
          <w:szCs w:val="22"/>
        </w:rPr>
        <w:tab/>
        <w:t xml:space="preserve">9</w:t>
      </w:r>
    </w:p>
    <w:p>
      <w:pPr>
        <w:tabs>
          <w:tab w:val="right" w:pos="9638" w:leader="dot"/>
        </w:tabs>
        <w:spacing w:after="70"/>
      </w:pPr>
      <w:r>
        <w:rPr>
          <w:sz w:val="22"/>
          <w:szCs w:val="22"/>
        </w:rPr>
        <w:t xml:space="preserve">10.  Gestion des incidents de sécurité</w:t>
      </w:r>
      <w:r>
        <w:rPr>
          <w:sz w:val="22"/>
          <w:szCs w:val="22"/>
        </w:rPr>
        <w:tab/>
        <w:t xml:space="preserve">9</w:t>
      </w:r>
    </w:p>
    <w:p>
      <w:pPr>
        <w:tabs>
          <w:tab w:val="right" w:pos="9638" w:leader="dot"/>
        </w:tabs>
        <w:spacing w:after="70"/>
      </w:pPr>
      <w:r>
        <w:rPr>
          <w:sz w:val="22"/>
          <w:szCs w:val="22"/>
        </w:rPr>
        <w:t xml:space="preserve">11.  Continuité d'activité</w:t>
      </w:r>
      <w:r>
        <w:rPr>
          <w:sz w:val="22"/>
          <w:szCs w:val="22"/>
        </w:rPr>
        <w:tab/>
        <w:t xml:space="preserve">10</w:t>
      </w:r>
    </w:p>
    <w:p>
      <w:pPr>
        <w:tabs>
          <w:tab w:val="right" w:pos="9638" w:leader="dot"/>
        </w:tabs>
        <w:spacing w:after="70"/>
      </w:pPr>
      <w:r>
        <w:rPr>
          <w:sz w:val="22"/>
          <w:szCs w:val="22"/>
        </w:rPr>
        <w:t xml:space="preserve">12.  Conformité, protection des données et contrôle</w:t>
      </w:r>
      <w:r>
        <w:rPr>
          <w:sz w:val="22"/>
          <w:szCs w:val="22"/>
        </w:rPr>
        <w:tab/>
        <w:t xml:space="preserve">10</w:t>
      </w:r>
    </w:p>
    <w:p>
      <w:pPr>
        <w:tabs>
          <w:tab w:val="right" w:pos="9638" w:leader="dot"/>
        </w:tabs>
        <w:spacing w:after="70"/>
      </w:pPr>
      <w:r>
        <w:rPr>
          <w:sz w:val="22"/>
          <w:szCs w:val="22"/>
        </w:rPr>
        <w:t xml:space="preserve">Approbation</w:t>
      </w:r>
      <w:r>
        <w:rPr>
          <w:sz w:val="22"/>
          <w:szCs w:val="22"/>
        </w:rPr>
        <w:tab/>
        <w:t xml:space="preserve">11</w:t>
      </w:r>
    </w:p>
    <w:p>
      <w:pPr>
        <w:tabs>
          <w:tab w:val="right" w:pos="9638" w:leader="dot"/>
        </w:tabs>
        <w:spacing w:after="70"/>
      </w:pPr>
      <w:r>
        <w:rPr>
          <w:sz w:val="22"/>
          <w:szCs w:val="22"/>
        </w:rPr>
        <w:t xml:space="preserve">Annexe — Correspondance entre scénarios de risque et règles</w:t>
      </w:r>
      <w:r>
        <w:rPr>
          <w:sz w:val="22"/>
          <w:szCs w:val="22"/>
        </w:rPr>
        <w:tab/>
        <w:t xml:space="preserve">12</w:t>
      </w:r>
    </w:p>
    <w:p>
      <w:pPr>
        <w:pStyle w:val="Heading1"/>
        <w:keepNext/>
        <w:pageBreakBefore/>
      </w:pPr>
      <w:r>
        <w:t xml:space="preserve">1. Objet, domaine d'application et principes</w:t>
      </w:r>
    </w:p>
    <w:p>
      <w:pPr>
        <w:keepNext/>
        <w:spacing w:after="100" w:line="264"/>
      </w:pPr>
      <w:r>
        <w:rPr>
          <w:b w:val="false"/>
          <w:bCs w:val="false"/>
          <w:i w:val="false"/>
          <w:iCs w:val="false"/>
        </w:rPr>
        <w:t xml:space="preserve">La présente PSSI décline la politique du SMSI (NTG-SMSI-POL-001) en règles concrètes, applicables par toutes et tous. Elle s'appuie sur l'appréciation des risques de septembre 2026 (NTG-SMSI-RSK-003) et sur la déclaration d'applicabilité (NTG-SMSI-DDA-001).</w:t>
      </w:r>
    </w:p>
    <w:p>
      <w:pPr>
        <w:keepNext/>
        <w:spacing w:after="100" w:line="264"/>
      </w:pPr>
      <w:r>
        <w:rPr>
          <w:b w:val="false"/>
          <w:bCs w:val="false"/>
          <w:i w:val="false"/>
          <w:iCs w:val="false"/>
        </w:rPr>
        <w:t xml:space="preserve">Elle s'applique au périmètre du SMSI (NTG-SMSI-CTX-003) : à tous les salariés, stagiaires et prestataires de NotAge, à l'ensemble de son système d'information, et à tous les lieux de travail (bureaux de Paris, télétravail, déplacements).</w:t>
      </w:r>
    </w:p>
    <w:p>
      <w:pPr>
        <w:keepNext/>
        <w:spacing w:after="60" w:line="264"/>
      </w:pPr>
      <w:r>
        <w:rPr>
          <w:b w:val="false"/>
          <w:bCs w:val="false"/>
          <w:i w:val="false"/>
          <w:iCs w:val="false"/>
        </w:rPr>
        <w:t xml:space="preserve">La sécurité de l'information chez NotAge repose sur six principes :</w:t>
      </w:r>
    </w:p>
    <w:p>
      <w:pPr>
        <w:pStyle w:val="ListParagraph"/>
        <w:numPr>
          <w:ilvl w:val="0"/>
          <w:numId w:val="2"/>
        </w:numPr>
        <w:spacing w:after="50" w:line="264"/>
      </w:pPr>
      <w:r>
        <w:rPr>
          <w:b/>
          <w:bCs/>
          <w:i w:val="false"/>
          <w:iCs w:val="false"/>
        </w:rPr>
        <w:t xml:space="preserve">Proportionnalité</w:t>
      </w:r>
      <w:r>
        <w:rPr>
          <w:b w:val="false"/>
          <w:bCs w:val="false"/>
          <w:i w:val="false"/>
          <w:iCs w:val="false"/>
        </w:rPr>
        <w:t xml:space="preserve"> : chaque règle répond à un risque, à une exigence légale ou à un engagement contractuel.</w:t>
      </w:r>
    </w:p>
    <w:p>
      <w:pPr>
        <w:pStyle w:val="ListParagraph"/>
        <w:numPr>
          <w:ilvl w:val="0"/>
          <w:numId w:val="2"/>
        </w:numPr>
        <w:spacing w:after="50" w:line="264"/>
      </w:pPr>
      <w:r>
        <w:rPr>
          <w:b/>
          <w:bCs/>
          <w:i w:val="false"/>
          <w:iCs w:val="false"/>
        </w:rPr>
        <w:t xml:space="preserve">Moindre privilège et besoin d'en connaître</w:t>
      </w:r>
      <w:r>
        <w:rPr>
          <w:b w:val="false"/>
          <w:bCs w:val="false"/>
          <w:i w:val="false"/>
          <w:iCs w:val="false"/>
        </w:rPr>
        <w:t xml:space="preserve"> : chacun n'accède qu'à ce dont il a besoin pour sa mission.</w:t>
      </w:r>
    </w:p>
    <w:p>
      <w:pPr>
        <w:pStyle w:val="ListParagraph"/>
        <w:numPr>
          <w:ilvl w:val="0"/>
          <w:numId w:val="2"/>
        </w:numPr>
        <w:spacing w:after="50" w:line="264"/>
      </w:pPr>
      <w:r>
        <w:rPr>
          <w:b/>
          <w:bCs/>
          <w:i w:val="false"/>
          <w:iCs w:val="false"/>
        </w:rPr>
        <w:t xml:space="preserve">Défense en profondeur</w:t>
      </w:r>
      <w:r>
        <w:rPr>
          <w:b w:val="false"/>
          <w:bCs w:val="false"/>
          <w:i w:val="false"/>
          <w:iCs w:val="false"/>
        </w:rPr>
        <w:t xml:space="preserve"> : aucune mesure ne suffit seule ; les protections se complètent.</w:t>
      </w:r>
    </w:p>
    <w:p>
      <w:pPr>
        <w:pStyle w:val="ListParagraph"/>
        <w:numPr>
          <w:ilvl w:val="0"/>
          <w:numId w:val="2"/>
        </w:numPr>
        <w:spacing w:after="50" w:line="264"/>
      </w:pPr>
      <w:r>
        <w:rPr>
          <w:b/>
          <w:bCs/>
          <w:i w:val="false"/>
          <w:iCs w:val="false"/>
        </w:rPr>
        <w:t xml:space="preserve">Sécurité dès la conception</w:t>
      </w:r>
      <w:r>
        <w:rPr>
          <w:b w:val="false"/>
          <w:bCs w:val="false"/>
          <w:i w:val="false"/>
          <w:iCs w:val="false"/>
        </w:rPr>
        <w:t xml:space="preserve"> : la sécurité est prise en compte au début des projets, pas à la fin.</w:t>
      </w:r>
    </w:p>
    <w:p>
      <w:pPr>
        <w:pStyle w:val="ListParagraph"/>
        <w:numPr>
          <w:ilvl w:val="0"/>
          <w:numId w:val="2"/>
        </w:numPr>
        <w:spacing w:after="50" w:line="264"/>
      </w:pPr>
      <w:r>
        <w:rPr>
          <w:b/>
          <w:bCs/>
          <w:i w:val="false"/>
          <w:iCs w:val="false"/>
        </w:rPr>
        <w:t xml:space="preserve">Traçabilité</w:t>
      </w:r>
      <w:r>
        <w:rPr>
          <w:b w:val="false"/>
          <w:bCs w:val="false"/>
          <w:i w:val="false"/>
          <w:iCs w:val="false"/>
        </w:rPr>
        <w:t xml:space="preserve"> : toute action sensible est journalisée et attribuable à une personne.</w:t>
      </w:r>
    </w:p>
    <w:p>
      <w:pPr>
        <w:pStyle w:val="ListParagraph"/>
        <w:numPr>
          <w:ilvl w:val="0"/>
          <w:numId w:val="2"/>
        </w:numPr>
        <w:spacing w:after="50" w:line="264"/>
      </w:pPr>
      <w:r>
        <w:rPr>
          <w:b/>
          <w:bCs/>
          <w:i w:val="false"/>
          <w:iCs w:val="false"/>
        </w:rPr>
        <w:t xml:space="preserve">Responsabilité de chacun</w:t>
      </w:r>
      <w:r>
        <w:rPr>
          <w:b w:val="false"/>
          <w:bCs w:val="false"/>
          <w:i w:val="false"/>
          <w:iCs w:val="false"/>
        </w:rPr>
        <w:t xml:space="preserve"> : la sécurité n'est pas l'affaire de la seule RSSI.</w:t>
      </w:r>
    </w:p>
    <w:p>
      <w:pPr>
        <w:spacing w:after="100" w:line="264"/>
      </w:pPr>
      <w:r>
        <w:rPr>
          <w:b w:val="false"/>
          <w:bCs w:val="false"/>
          <w:i/>
          <w:iCs/>
        </w:rPr>
        <w:t xml:space="preserve">Dans les règles ci-dessous, « doit » exprime une obligation. Chaque règle porte un identifiant (par exemple ACC-04) et renvoie aux mesures de l'annexe A d'ISO/IEC 27001:2022 qu'elle met en œuvre.</w:t>
      </w:r>
    </w:p>
    <w:p>
      <w:pPr>
        <w:keepNext/>
        <w:spacing w:after="60" w:line="264"/>
      </w:pPr>
      <w:r>
        <w:rPr>
          <w:b/>
          <w:bCs/>
          <w:i w:val="false"/>
          <w:iCs w:val="false"/>
        </w:rPr>
        <w:t xml:space="preserve">Définitions utilisées dans la PSSI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Terme</w:t>
            </w:r>
          </w:p>
        </w:tc>
        <w:tc>
          <w:tcPr>
            <w:tcW w:type="dxa" w:w="7038"/>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Définition</w:t>
            </w:r>
          </w:p>
        </w:tc>
      </w:tr>
      <w:tr>
        <w:trPr>
          <w:cantSplit/>
        </w:trPr>
        <w:tc>
          <w:tcPr>
            <w:tcW w:type="dxa" w:w="26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Donnée client</w:t>
            </w:r>
          </w:p>
        </w:tc>
        <w:tc>
          <w:tcPr>
            <w:tcW w:type="dxa" w:w="70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Toute donnée confiée par un client ou par ses utilisateurs : identités, IBAN, justificatifs, données comptables.</w:t>
            </w:r>
          </w:p>
        </w:tc>
      </w:tr>
      <w:tr>
        <w:trPr>
          <w:cantSplit/>
        </w:trPr>
        <w:tc>
          <w:tcPr>
            <w:tcW w:type="dxa" w:w="26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Compte à privilèges</w:t>
            </w:r>
          </w:p>
        </w:tc>
        <w:tc>
          <w:tcPr>
            <w:tcW w:type="dxa" w:w="70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Compte qui permet d'administrer un système ou d'accéder à des données en masse (AWS, GitHub, console d'administration).</w:t>
            </w:r>
          </w:p>
        </w:tc>
      </w:tr>
      <w:tr>
        <w:trPr>
          <w:cantSplit/>
        </w:trPr>
        <w:tc>
          <w:tcPr>
            <w:tcW w:type="dxa" w:w="26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Authentification multifacteur</w:t>
            </w:r>
          </w:p>
        </w:tc>
        <w:tc>
          <w:tcPr>
            <w:tcW w:type="dxa" w:w="70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Preuve d'identité qui combine au moins deux facteurs : mot de passe et code, ou clé de sécurité physique.</w:t>
            </w:r>
          </w:p>
        </w:tc>
      </w:tr>
      <w:tr>
        <w:trPr>
          <w:cantSplit/>
        </w:trPr>
        <w:tc>
          <w:tcPr>
            <w:tcW w:type="dxa" w:w="26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Authentification unique (SSO)</w:t>
            </w:r>
          </w:p>
        </w:tc>
        <w:tc>
          <w:tcPr>
            <w:tcW w:type="dxa" w:w="70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Connexion unique qui donne accès aux outils de l'entreprise avec une seule identité maîtrisée.</w:t>
            </w:r>
          </w:p>
        </w:tc>
      </w:tr>
      <w:tr>
        <w:trPr>
          <w:cantSplit/>
        </w:trPr>
        <w:tc>
          <w:tcPr>
            <w:tcW w:type="dxa" w:w="26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Événement de sécurité</w:t>
            </w:r>
          </w:p>
        </w:tc>
        <w:tc>
          <w:tcPr>
            <w:tcW w:type="dxa" w:w="70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Situation qui pourrait signaler une atteinte à la sécurité : e-mail suspect, alerte technique, appareil perdu.</w:t>
            </w:r>
          </w:p>
        </w:tc>
      </w:tr>
      <w:tr>
        <w:trPr>
          <w:cantSplit/>
        </w:trPr>
        <w:tc>
          <w:tcPr>
            <w:tcW w:type="dxa" w:w="26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Incident de sécurité</w:t>
            </w:r>
          </w:p>
        </w:tc>
        <w:tc>
          <w:tcPr>
            <w:tcW w:type="dxa" w:w="70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Événement qui porte, ou risque de porter, atteinte à la disponibilité, à l'intégrité ou à la confidentialité de l'information.</w:t>
            </w:r>
          </w:p>
        </w:tc>
      </w:tr>
      <w:tr>
        <w:trPr>
          <w:cantSplit/>
        </w:trPr>
        <w:tc>
          <w:tcPr>
            <w:tcW w:type="dxa" w:w="26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Violation de données</w:t>
            </w:r>
          </w:p>
        </w:tc>
        <w:tc>
          <w:tcPr>
            <w:tcW w:type="dxa" w:w="70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Incident qui entraîne la perte, l'altération, la divulgation ou l'accès non autorisé à des données personnelles (au sens du RGPD).</w:t>
            </w:r>
          </w:p>
        </w:tc>
      </w:tr>
      <w:tr>
        <w:trPr>
          <w:cantSplit/>
        </w:trPr>
        <w:tc>
          <w:tcPr>
            <w:tcW w:type="dxa" w:w="26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RTO et RPO</w:t>
            </w:r>
          </w:p>
        </w:tc>
        <w:tc>
          <w:tcPr>
            <w:tcW w:type="dxa" w:w="70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Durée maximale d'interruption admissible (RTO) et perte de données maximale admissible (RPO) après un incident.</w:t>
            </w:r>
          </w:p>
        </w:tc>
      </w:tr>
      <w:tr>
        <w:trPr>
          <w:cantSplit/>
        </w:trPr>
        <w:tc>
          <w:tcPr>
            <w:tcW w:type="dxa" w:w="26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Dérogation</w:t>
            </w:r>
          </w:p>
        </w:tc>
        <w:tc>
          <w:tcPr>
            <w:tcW w:type="dxa" w:w="70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Autorisation écrite, justifiée et limitée dans le temps de ne pas appliquer une règle.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cantSplit/>
          <w:tblHeader/>
        </w:trPr>
        <w:tc>
          <w:tcPr>
            <w:tcW w:type="dxa" w:w="10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Règle</w:t>
            </w:r>
          </w:p>
        </w:tc>
        <w:tc>
          <w:tcPr>
            <w:tcW w:type="dxa" w:w="7138"/>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Exigence</w:t>
            </w:r>
          </w:p>
        </w:tc>
        <w:tc>
          <w:tcPr>
            <w:tcW w:type="dxa" w:w="15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Annexe A</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GEN-01</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La PSSI est obligatoire pour toute personne ayant accès au système d'information de NotAge. Son non-respect peut entraîner des sanctions, conformément au règlement intérieur et aux contrats.</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5.1, 5.4, 6.4</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GEN-02</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Toute dérogation à une règle doit être demandée par écrit à la RSSI, justifiée par une analyse de risque, validée par le propriétaire du risque et limitée à six mois au plus. Les dérogations sont inscrites dans un registre revu en comité de sécurité.</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5.36</w:t>
            </w:r>
          </w:p>
        </w:tc>
      </w:tr>
    </w:tbl>
    <w:p>
      <w:pPr>
        <w:spacing w:after="80"/>
      </w:pPr>
    </w:p>
    <w:p>
      <w:pPr>
        <w:pStyle w:val="Heading1"/>
        <w:keepNext/>
      </w:pPr>
      <w:r>
        <w:t xml:space="preserve">2. Organisation de la sécurité</w:t>
      </w:r>
    </w:p>
    <w:p>
      <w:pPr>
        <w:keepNext/>
        <w:spacing w:after="100" w:line="264"/>
      </w:pPr>
      <w:r>
        <w:rPr>
          <w:b w:val="false"/>
          <w:bCs w:val="false"/>
          <w:i w:val="false"/>
          <w:iCs w:val="false"/>
        </w:rPr>
        <w:t xml:space="preserve">Les rôles, le comité de sécurité et la matrice RACI sont détaillés dans le document NTG-SMSI-GOV-001. Cette section en rappelle les règles essentielles.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cantSplit/>
          <w:tblHeader/>
        </w:trPr>
        <w:tc>
          <w:tcPr>
            <w:tcW w:type="dxa" w:w="10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Règle</w:t>
            </w:r>
          </w:p>
        </w:tc>
        <w:tc>
          <w:tcPr>
            <w:tcW w:type="dxa" w:w="7138"/>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Exigence</w:t>
            </w:r>
          </w:p>
        </w:tc>
        <w:tc>
          <w:tcPr>
            <w:tcW w:type="dxa" w:w="15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Annexe A</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ORG-01</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La direction générale approuve la PSSI, alloue les ressources nécessaires à la sécurité et accepte les risques résiduels élevés.</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5.4</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ORG-02</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La RSSI, rattachée à la direction générale, pilote le SMSI, anime le comité de sécurité, tient à jour la PSSI et conseille les propriétaires des risques.</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5.2</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ORG-03</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Chaque actif et chaque risque a un propriétaire désigné, inscrit dans l'inventaire des actifs et dans le registre des risques.</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5.2, 5.9</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ORG-04</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tâches sensibles sont séparées : nul ne peut à la fois demander, valider et réaliser un changement en production, et la RSSI n'administre pas la production.</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5.3</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ORG-05</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La RSSI entretient les contacts avec les autorités (CNIL, ANSSI et CERT-FR, forces de l'ordre en cas de fraude) et avec des groupes spécialisés (alertes du CERT-FR, club de RSSI).</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5.5, 5.6</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ORG-06</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La RSSI assure une veille sur les menaces visant les éditeurs SaaS et la fraude au virement, et en tient compte dans l'appréciation des risques.</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5.7</w:t>
            </w:r>
          </w:p>
        </w:tc>
      </w:tr>
    </w:tbl>
    <w:p>
      <w:pPr>
        <w:spacing w:after="80"/>
      </w:pPr>
    </w:p>
    <w:p>
      <w:pPr>
        <w:keepNext/>
        <w:spacing w:after="60" w:line="264"/>
      </w:pPr>
      <w:r>
        <w:rPr>
          <w:b/>
          <w:bCs/>
          <w:i w:val="false"/>
          <w:iCs w:val="false"/>
        </w:rPr>
        <w:t xml:space="preserve">Qui fait quoi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Acteur</w:t>
            </w:r>
          </w:p>
        </w:tc>
        <w:tc>
          <w:tcPr>
            <w:tcW w:type="dxa" w:w="7038"/>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Responsabilités au titre de la PSSI</w:t>
            </w:r>
          </w:p>
        </w:tc>
      </w:tr>
      <w:tr>
        <w:trPr>
          <w:cantSplit/>
        </w:trPr>
        <w:tc>
          <w:tcPr>
            <w:tcW w:type="dxa" w:w="26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Chaque collaborateur</w:t>
            </w:r>
          </w:p>
        </w:tc>
        <w:tc>
          <w:tcPr>
            <w:tcW w:type="dxa" w:w="70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Applique la PSSI, protège ses accès et ses appareils, suit la sensibilisation, signale sans délai tout événement suspect.</w:t>
            </w:r>
          </w:p>
        </w:tc>
      </w:tr>
      <w:tr>
        <w:trPr>
          <w:cantSplit/>
        </w:trPr>
        <w:tc>
          <w:tcPr>
            <w:tcW w:type="dxa" w:w="26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Managers</w:t>
            </w:r>
          </w:p>
        </w:tc>
        <w:tc>
          <w:tcPr>
            <w:tcW w:type="dxa" w:w="70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Valident les droits d'accès de leur équipe, participent aux revues trimestrielles, veillent au suivi de la sensibilisation.</w:t>
            </w:r>
          </w:p>
        </w:tc>
      </w:tr>
      <w:tr>
        <w:trPr>
          <w:cantSplit/>
        </w:trPr>
        <w:tc>
          <w:tcPr>
            <w:tcW w:type="dxa" w:w="26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Propriétaires d'actifs</w:t>
            </w:r>
          </w:p>
        </w:tc>
        <w:tc>
          <w:tcPr>
            <w:tcW w:type="dxa" w:w="70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Protègent l'actif au quotidien, valident les accès, participent à l'appréciation des risques qui le concernent.</w:t>
            </w:r>
          </w:p>
        </w:tc>
      </w:tr>
      <w:tr>
        <w:trPr>
          <w:cantSplit/>
        </w:trPr>
        <w:tc>
          <w:tcPr>
            <w:tcW w:type="dxa" w:w="26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Propriétaires de risques</w:t>
            </w:r>
          </w:p>
        </w:tc>
        <w:tc>
          <w:tcPr>
            <w:tcW w:type="dxa" w:w="70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Décident du traitement de leurs risques, pilotent les actions du plan de traitement, acceptent le risque résiduel.</w:t>
            </w:r>
          </w:p>
        </w:tc>
      </w:tr>
      <w:tr>
        <w:trPr>
          <w:cantSplit/>
        </w:trPr>
        <w:tc>
          <w:tcPr>
            <w:tcW w:type="dxa" w:w="26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RSSI</w:t>
            </w:r>
          </w:p>
        </w:tc>
        <w:tc>
          <w:tcPr>
            <w:tcW w:type="dxa" w:w="70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Pilote le SMSI, conseille, contrôle l'application de la PSSI, coordonne la gestion des incidents.</w:t>
            </w:r>
          </w:p>
        </w:tc>
      </w:tr>
      <w:tr>
        <w:trPr>
          <w:cantSplit/>
        </w:trPr>
        <w:tc>
          <w:tcPr>
            <w:tcW w:type="dxa" w:w="26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Direction générale</w:t>
            </w:r>
          </w:p>
        </w:tc>
        <w:tc>
          <w:tcPr>
            <w:tcW w:type="dxa" w:w="70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Approuve la PSSI, alloue les ressources, arbitre les priorités, accepte les risques résiduels élevés.</w:t>
            </w:r>
          </w:p>
        </w:tc>
      </w:tr>
    </w:tbl>
    <w:p>
      <w:pPr>
        <w:spacing w:after="80"/>
      </w:pPr>
    </w:p>
    <w:p>
      <w:pPr>
        <w:pStyle w:val="Heading1"/>
        <w:keepNext/>
      </w:pPr>
      <w:r>
        <w:t xml:space="preserve">3. Gestion des actifs et classification de l'information</w:t>
      </w:r>
    </w:p>
    <w:p>
      <w:pPr>
        <w:keepNext/>
        <w:spacing w:after="100" w:line="264"/>
      </w:pPr>
      <w:r>
        <w:rPr>
          <w:b w:val="false"/>
          <w:bCs w:val="false"/>
          <w:i w:val="false"/>
          <w:iCs w:val="false"/>
        </w:rPr>
        <w:t xml:space="preserve">On ne protège bien que ce que l'on connaît. Les actifs sont inventoriés, et chaque information est classée pour savoir comment la manipuler.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cantSplit/>
          <w:tblHeader/>
        </w:trPr>
        <w:tc>
          <w:tcPr>
            <w:tcW w:type="dxa" w:w="10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Règle</w:t>
            </w:r>
          </w:p>
        </w:tc>
        <w:tc>
          <w:tcPr>
            <w:tcW w:type="dxa" w:w="7138"/>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Exigence</w:t>
            </w:r>
          </w:p>
        </w:tc>
        <w:tc>
          <w:tcPr>
            <w:tcW w:type="dxa" w:w="15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Annexe A</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ACT-01</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L'inventaire des actifs (NTG-SMSI-CTX-004) est tenu à jour par la RSSI avec les propriétaires. Il est revu chaque année et à chaque adoption d'un nouvel outil.</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5.9</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ACT-02</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Toute information est classée selon quatre niveaux : Public, Interne, Confidentiel, Strictement confidentiel. À défaut de marquage, elle est traitée comme Interne ; les données des clients sont Confidentielles par défaut.</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5.12</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ACT-03</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La classification figure dans l'en-tête de chaque document. Les règles de manipulation du tableau ci-dessous s'appliquent à chaque niveau.</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5.13</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ACT-04</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échanges de données avec les clients passent uniquement par la plateforme ou par des API authentifiées et chiffrées. Aucune donnée client ne transite par une messagerie personnelle, une clé USB ou un service de partage non autorisé.</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5.14</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ACT-05</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Aucune donnée de production (IBAN, justificatifs) ne doit être copiée dans un ticket, un message Slack ou un document de travail : on utilise l'identifiant du dossier.</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5.14, 8.12</w:t>
            </w:r>
          </w:p>
        </w:tc>
      </w:tr>
    </w:tbl>
    <w:p>
      <w:pPr>
        <w:spacing w:after="80"/>
      </w:pPr>
    </w:p>
    <w:p>
      <w:pPr>
        <w:keepNext/>
        <w:spacing w:after="60" w:line="264"/>
      </w:pPr>
      <w:r>
        <w:rPr>
          <w:b/>
          <w:bCs/>
          <w:i w:val="false"/>
          <w:iCs w:val="false"/>
        </w:rPr>
        <w:t xml:space="preserve">Règles de manipulation selon la classification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8"/>
        <w:gridCol w:w="1900"/>
        <w:gridCol w:w="2000"/>
        <w:gridCol w:w="2000"/>
        <w:gridCol w:w="1900"/>
      </w:tblGrid>
      <w:tr>
        <w:trPr>
          <w:cantSplit/>
          <w:tblHeader/>
        </w:trPr>
        <w:tc>
          <w:tcPr>
            <w:tcW w:type="dxa" w:w="1838"/>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Niveau</w:t>
            </w:r>
          </w:p>
        </w:tc>
        <w:tc>
          <w:tcPr>
            <w:tcW w:type="dxa" w:w="19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Stockage</w:t>
            </w:r>
          </w:p>
        </w:tc>
        <w:tc>
          <w:tcPr>
            <w:tcW w:type="dxa" w:w="20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Partage interne</w:t>
            </w:r>
          </w:p>
        </w:tc>
        <w:tc>
          <w:tcPr>
            <w:tcW w:type="dxa" w:w="20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Envoi à l'extérieur</w:t>
            </w:r>
          </w:p>
        </w:tc>
        <w:tc>
          <w:tcPr>
            <w:tcW w:type="dxa" w:w="19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Destruction</w:t>
            </w:r>
          </w:p>
        </w:tc>
      </w:tr>
      <w:tr>
        <w:trPr>
          <w:cantSplit/>
        </w:trPr>
        <w:tc>
          <w:tcPr>
            <w:tcW w:type="dxa" w:w="18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Public</w:t>
            </w:r>
          </w:p>
        </w:tc>
        <w:tc>
          <w:tcPr>
            <w:tcW w:type="dxa" w:w="19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Libre</w:t>
            </w:r>
          </w:p>
        </w:tc>
        <w:tc>
          <w:tcPr>
            <w:tcW w:type="dxa" w:w="2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Libre</w:t>
            </w:r>
          </w:p>
        </w:tc>
        <w:tc>
          <w:tcPr>
            <w:tcW w:type="dxa" w:w="2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Libre</w:t>
            </w:r>
          </w:p>
        </w:tc>
        <w:tc>
          <w:tcPr>
            <w:tcW w:type="dxa" w:w="19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Aucune précaution</w:t>
            </w:r>
          </w:p>
        </w:tc>
      </w:tr>
      <w:tr>
        <w:trPr>
          <w:cantSplit/>
        </w:trPr>
        <w:tc>
          <w:tcPr>
            <w:tcW w:type="dxa" w:w="18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Interne</w:t>
            </w:r>
          </w:p>
        </w:tc>
        <w:tc>
          <w:tcPr>
            <w:tcW w:type="dxa" w:w="19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Outils de l'entreprise</w:t>
            </w:r>
          </w:p>
        </w:tc>
        <w:tc>
          <w:tcPr>
            <w:tcW w:type="dxa" w:w="2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Salariés et prestataires sous contrat</w:t>
            </w:r>
          </w:p>
        </w:tc>
        <w:tc>
          <w:tcPr>
            <w:tcW w:type="dxa" w:w="2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Avec l'accord du propriétaire</w:t>
            </w:r>
          </w:p>
        </w:tc>
        <w:tc>
          <w:tcPr>
            <w:tcW w:type="dxa" w:w="19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Suppression standard</w:t>
            </w:r>
          </w:p>
        </w:tc>
      </w:tr>
      <w:tr>
        <w:trPr>
          <w:cantSplit/>
        </w:trPr>
        <w:tc>
          <w:tcPr>
            <w:tcW w:type="dxa" w:w="18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Confidentiel</w:t>
            </w:r>
          </w:p>
        </w:tc>
        <w:tc>
          <w:tcPr>
            <w:tcW w:type="dxa" w:w="19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Espaces à accès nominatif</w:t>
            </w:r>
          </w:p>
        </w:tc>
        <w:tc>
          <w:tcPr>
            <w:tcW w:type="dxa" w:w="2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Selon le besoin d'en connaître</w:t>
            </w:r>
          </w:p>
        </w:tc>
        <w:tc>
          <w:tcPr>
            <w:tcW w:type="dxa" w:w="2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Canal chiffré ou lien à accès restreint</w:t>
            </w:r>
          </w:p>
        </w:tc>
        <w:tc>
          <w:tcPr>
            <w:tcW w:type="dxa" w:w="19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Suppression sécurisée, destructeur pour le papier</w:t>
            </w:r>
          </w:p>
        </w:tc>
      </w:tr>
      <w:tr>
        <w:trPr>
          <w:cantSplit/>
        </w:trPr>
        <w:tc>
          <w:tcPr>
            <w:tcW w:type="dxa" w:w="18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Strictement confidentiel</w:t>
            </w:r>
          </w:p>
        </w:tc>
        <w:tc>
          <w:tcPr>
            <w:tcW w:type="dxa" w:w="19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Coffre dédié, accès journalisé</w:t>
            </w:r>
          </w:p>
        </w:tc>
        <w:tc>
          <w:tcPr>
            <w:tcW w:type="dxa" w:w="2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Liste nominative validée par le propriétaire</w:t>
            </w:r>
          </w:p>
        </w:tc>
        <w:tc>
          <w:tcPr>
            <w:tcW w:type="dxa" w:w="2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Interdit, sauf accord de la RSSI</w:t>
            </w:r>
          </w:p>
        </w:tc>
        <w:tc>
          <w:tcPr>
            <w:tcW w:type="dxa" w:w="19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Effacement certifié</w:t>
            </w:r>
          </w:p>
        </w:tc>
      </w:tr>
    </w:tbl>
    <w:p>
      <w:pPr>
        <w:spacing w:after="80"/>
      </w:pPr>
    </w:p>
    <w:p>
      <w:pPr>
        <w:pStyle w:val="Heading1"/>
        <w:keepNext/>
      </w:pPr>
      <w:r>
        <w:t xml:space="preserve">4. Ressources humaines et sensibilisation</w:t>
      </w:r>
    </w:p>
    <w:p>
      <w:pPr>
        <w:keepNext/>
        <w:spacing w:after="100" w:line="264"/>
      </w:pPr>
      <w:r>
        <w:rPr>
          <w:b w:val="false"/>
          <w:bCs w:val="false"/>
          <w:i w:val="false"/>
          <w:iCs w:val="false"/>
        </w:rPr>
        <w:t xml:space="preserve">La plupart des attaques commencent par une personne : un mot de passe réutilisé, un e-mail piégé, un appareil perdu. Cette section encadre le cycle de vie des collaborateurs et leur sensibilisation.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cantSplit/>
          <w:tblHeader/>
        </w:trPr>
        <w:tc>
          <w:tcPr>
            <w:tcW w:type="dxa" w:w="10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Règle</w:t>
            </w:r>
          </w:p>
        </w:tc>
        <w:tc>
          <w:tcPr>
            <w:tcW w:type="dxa" w:w="7138"/>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Exigence</w:t>
            </w:r>
          </w:p>
        </w:tc>
        <w:tc>
          <w:tcPr>
            <w:tcW w:type="dxa" w:w="15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Annexe A</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RH-01</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Avant l'embauche, les références et les diplômes sont vérifiés. Des vérifications renforcées sont menées pour les postes à privilèges, dans le respect du droit du travail.</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6.1</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RH-02</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contrats de travail et de prestation contiennent une clause de confidentialité et l'obligation de respecter la PSSI. Les prestataires et stagiaires signent un engagement de confidentialité avant tout accès.</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6.2, 6.6</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RH-03</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Chaque nouvel arrivant suit une sensibilisation (PSSI, hameçonnage, signalement, classification) avant l'ouverture de ses accès aux données des clients.</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6.3</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RH-04</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Tous les salariés suivent une sensibilisation annuelle. Une campagne d'hameçonnage simulé a lieu chaque trimestre ; les personnes piégées reçoivent un module complémentaire, sans sanction.</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6.3</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RH-05</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Des formations spécifiques complètent la sensibilisation : codage sécurisé pour les développeurs (annuelle), gestion des incidents pour l'équipe infrastructure, détection de la fraude au virement pour le support.</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6.3</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RH-06</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Au départ ou au changement de poste, la procédure NTG-SMSI-PRC-002 s'applique : retrait des accès, restitution du matériel, rappel écrit des obligations de confidentialité qui perdurent après le contrat.</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5.11, 6.5</w:t>
            </w:r>
          </w:p>
        </w:tc>
      </w:tr>
    </w:tbl>
    <w:p>
      <w:pPr>
        <w:spacing w:after="80"/>
      </w:pPr>
    </w:p>
    <w:p>
      <w:pPr>
        <w:keepNext/>
        <w:spacing w:after="60" w:line="264"/>
      </w:pPr>
      <w:r>
        <w:rPr>
          <w:b/>
          <w:bCs/>
          <w:i w:val="false"/>
          <w:iCs w:val="false"/>
        </w:rPr>
        <w:t xml:space="preserve">Plan de sensibilisation et de 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3638"/>
        <w:gridCol w:w="2300"/>
      </w:tblGrid>
      <w:tr>
        <w:trPr>
          <w:cantSplit/>
          <w:tblHeader/>
        </w:trPr>
        <w:tc>
          <w:tcPr>
            <w:tcW w:type="dxa" w:w="18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Public</w:t>
            </w:r>
          </w:p>
        </w:tc>
        <w:tc>
          <w:tcPr>
            <w:tcW w:type="dxa" w:w="19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Fréquence</w:t>
            </w:r>
          </w:p>
        </w:tc>
        <w:tc>
          <w:tcPr>
            <w:tcW w:type="dxa" w:w="3638"/>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Contenu</w:t>
            </w:r>
          </w:p>
        </w:tc>
        <w:tc>
          <w:tcPr>
            <w:tcW w:type="dxa" w:w="23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Indicateur</w:t>
            </w:r>
          </w:p>
        </w:tc>
      </w:tr>
      <w:tr>
        <w:trPr>
          <w:cantSplit/>
        </w:trPr>
        <w:tc>
          <w:tcPr>
            <w:tcW w:type="dxa" w:w="18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Tous les salariés</w:t>
            </w:r>
          </w:p>
        </w:tc>
        <w:tc>
          <w:tcPr>
            <w:tcW w:type="dxa" w:w="19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Arrivée, puis chaque année</w:t>
            </w:r>
          </w:p>
        </w:tc>
        <w:tc>
          <w:tcPr>
            <w:tcW w:type="dxa" w:w="36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Règles essentielles, hameçonnage, signalement, classification</w:t>
            </w:r>
          </w:p>
        </w:tc>
        <w:tc>
          <w:tcPr>
            <w:tcW w:type="dxa" w:w="23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100 % sensibilisés chaque année</w:t>
            </w:r>
          </w:p>
        </w:tc>
      </w:tr>
      <w:tr>
        <w:trPr>
          <w:cantSplit/>
        </w:trPr>
        <w:tc>
          <w:tcPr>
            <w:tcW w:type="dxa" w:w="18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Tous les salariés</w:t>
            </w:r>
          </w:p>
        </w:tc>
        <w:tc>
          <w:tcPr>
            <w:tcW w:type="dxa" w:w="19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Chaque trimestre</w:t>
            </w:r>
          </w:p>
        </w:tc>
        <w:tc>
          <w:tcPr>
            <w:tcW w:type="dxa" w:w="36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Hameçonnage simulé</w:t>
            </w:r>
          </w:p>
        </w:tc>
        <w:tc>
          <w:tcPr>
            <w:tcW w:type="dxa" w:w="23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Taux de clic et taux de signalement</w:t>
            </w:r>
          </w:p>
        </w:tc>
      </w:tr>
      <w:tr>
        <w:trPr>
          <w:cantSplit/>
        </w:trPr>
        <w:tc>
          <w:tcPr>
            <w:tcW w:type="dxa" w:w="18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Développeurs</w:t>
            </w:r>
          </w:p>
        </w:tc>
        <w:tc>
          <w:tcPr>
            <w:tcW w:type="dxa" w:w="19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Chaque année</w:t>
            </w:r>
          </w:p>
        </w:tc>
        <w:tc>
          <w:tcPr>
            <w:tcW w:type="dxa" w:w="36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Codage sécurisé (OWASP), gestion des secrets</w:t>
            </w:r>
          </w:p>
        </w:tc>
        <w:tc>
          <w:tcPr>
            <w:tcW w:type="dxa" w:w="23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100 % formés</w:t>
            </w:r>
          </w:p>
        </w:tc>
      </w:tr>
      <w:tr>
        <w:trPr>
          <w:cantSplit/>
        </w:trPr>
        <w:tc>
          <w:tcPr>
            <w:tcW w:type="dxa" w:w="18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Support client</w:t>
            </w:r>
          </w:p>
        </w:tc>
        <w:tc>
          <w:tcPr>
            <w:tcW w:type="dxa" w:w="19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Chaque année</w:t>
            </w:r>
          </w:p>
        </w:tc>
        <w:tc>
          <w:tcPr>
            <w:tcW w:type="dxa" w:w="36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Fraude au changement d'IBAN, ingénierie sociale</w:t>
            </w:r>
          </w:p>
        </w:tc>
        <w:tc>
          <w:tcPr>
            <w:tcW w:type="dxa" w:w="23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100 % formés</w:t>
            </w:r>
          </w:p>
        </w:tc>
      </w:tr>
      <w:tr>
        <w:trPr>
          <w:cantSplit/>
        </w:trPr>
        <w:tc>
          <w:tcPr>
            <w:tcW w:type="dxa" w:w="18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Infrastructure</w:t>
            </w:r>
          </w:p>
        </w:tc>
        <w:tc>
          <w:tcPr>
            <w:tcW w:type="dxa" w:w="19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Chaque année</w:t>
            </w:r>
          </w:p>
        </w:tc>
        <w:tc>
          <w:tcPr>
            <w:tcW w:type="dxa" w:w="36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Réponse aux incidents, exercice de crise</w:t>
            </w:r>
          </w:p>
        </w:tc>
        <w:tc>
          <w:tcPr>
            <w:tcW w:type="dxa" w:w="23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Exercice réalisé</w:t>
            </w:r>
          </w:p>
        </w:tc>
      </w:tr>
    </w:tbl>
    <w:p>
      <w:pPr>
        <w:spacing w:after="80"/>
      </w:pPr>
    </w:p>
    <w:p>
      <w:pPr>
        <w:pStyle w:val="Heading1"/>
        <w:keepNext/>
      </w:pPr>
      <w:r>
        <w:t xml:space="preserve">5. Contrôle d'accès et authentification</w:t>
      </w:r>
    </w:p>
    <w:p>
      <w:pPr>
        <w:keepNext/>
        <w:spacing w:after="100" w:line="264"/>
      </w:pPr>
      <w:r>
        <w:rPr>
          <w:b w:val="false"/>
          <w:bCs w:val="false"/>
          <w:i w:val="false"/>
          <w:iCs w:val="false"/>
        </w:rPr>
        <w:t xml:space="preserve">Les identités et les privilèges sont la première cause racine des risques de NotAge (R02, R05, R06, R07). Les règles opérationnelles détaillées figurent dans la procédure NTG-SMSI-PRC-002.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cantSplit/>
          <w:tblHeader/>
        </w:trPr>
        <w:tc>
          <w:tcPr>
            <w:tcW w:type="dxa" w:w="10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Règle</w:t>
            </w:r>
          </w:p>
        </w:tc>
        <w:tc>
          <w:tcPr>
            <w:tcW w:type="dxa" w:w="7138"/>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Exigence</w:t>
            </w:r>
          </w:p>
        </w:tc>
        <w:tc>
          <w:tcPr>
            <w:tcW w:type="dxa" w:w="15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Annexe A</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ACC-01</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accès sont attribués selon le besoin d'en connaître et le moindre privilège, par profils prédéfinis, et validés par le manager et par le propriétaire de l'actif.</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5.15, 5.18</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ACC-02</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Chaque personne dispose d'une identité unique et nominative. Les comptes partagés sont interdits ; les comptes de service sont documentés et ont un propriétaire.</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5.16</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ACC-03</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Tous les outils de l'entreprise sont raccordés à l'authentification unique (SSO) lorsque c'est techniquement possible. Les exceptions sont recensées et revues chaque trimestre.</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5.16</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ACC-04</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L'authentification multifacteur est obligatoire pour tous les salariés, sur tous les outils. Les comptes à privilèges (AWS, GitHub, administration Google) utilisent des clés de sécurité physiques, résistantes à l'hameçonnage.</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8.5</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ACC-05</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Sur la plateforme, l'authentification multifacteur est obligatoire pour les rôles administrateur et valideur des clients. Une réauthentification est exigée avant toute action sensible : modification d'IBAN, ajout d'utilisateur, export massif.</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8.5, 8.26</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ACC-06</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mots de passe comptent au moins 12 caractères (une phrase de passe est recommandée), sont uniques pour chaque service et stockés dans le gestionnaire fourni. Aucun renouvellement périodique n'est imposé, mais tout mot de passe est changé immédiatement en cas de suspicion de compromission.</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5.17</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ACC-07</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secrets techniques (clés d'API, mots de passe de bases de données) sont stockés dans un coffre dédié, jamais dans le code ni dans un message. Ils sont renouvelés au moins une fois par an, et immédiatement en cas d'exposition.</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5.17</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ACC-08</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Deux administrateurs permanents au plus disposent de droits étendus sur AWS. Les autres obtiennent une élévation temporaire, sur demande tracée, limitée à 8 heures. Aucune clé d'accès AWS de longue durée n'est autorisée.</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8.2, 8.18</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ACC-09</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droits d'accès sont revus chaque trimestre par les managers et les propriétaires des actifs ; les droits non justifiés sont retirés sous 5 jours ouvrés.</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5.18</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ACC-10</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Le support n'accède qu'aux comptes des clients ayant ouvert une demande, pour la durée de son traitement. Les IBAN y sont masqués (4 derniers caractères visibles). Les consultations sont journalisées et revues chaque mois par échantillonnage.</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8.3, 8.11, 8.15</w:t>
            </w:r>
          </w:p>
        </w:tc>
      </w:tr>
    </w:tbl>
    <w:p>
      <w:pPr>
        <w:spacing w:after="80"/>
      </w:pPr>
    </w:p>
    <w:p>
      <w:pPr>
        <w:pStyle w:val="Heading1"/>
        <w:keepNext/>
      </w:pPr>
      <w:r>
        <w:t xml:space="preserve">6. Postes de travail, mobilité et locaux</w:t>
      </w:r>
    </w:p>
    <w:p>
      <w:pPr>
        <w:keepNext/>
        <w:spacing w:after="100" w:line="264"/>
      </w:pPr>
      <w:r>
        <w:rPr>
          <w:b w:val="false"/>
          <w:bCs w:val="false"/>
          <w:i w:val="false"/>
          <w:iCs w:val="false"/>
        </w:rPr>
        <w:t xml:space="preserve">Les salariés de NotAge travaillent au bureau, chez eux et en déplacement. Les règles suivantes protègent les appareils et les lieux, quel que soit l'endroit.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cantSplit/>
          <w:tblHeader/>
        </w:trPr>
        <w:tc>
          <w:tcPr>
            <w:tcW w:type="dxa" w:w="10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Règle</w:t>
            </w:r>
          </w:p>
        </w:tc>
        <w:tc>
          <w:tcPr>
            <w:tcW w:type="dxa" w:w="7138"/>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Exigence</w:t>
            </w:r>
          </w:p>
        </w:tc>
        <w:tc>
          <w:tcPr>
            <w:tcW w:type="dxa" w:w="15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Annexe A</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POS-01</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Seuls les ordinateurs fournis et gérés par NotAge peuvent accéder aux données des clients et à la production. Ils sont gérés centralement : chiffrement du disque, mises à jour automatiques, protection contre les logiciels malveillants, effacement à distance.</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8.1, 8.7</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POS-02</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smartphones personnels n'accèdent à la messagerie et à Slack que par un profil professionnel protégé (code de verrouillage, chiffrement, effacement du profil à distance). Aucune donnée client n'y est stockée.</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8.1</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POS-03</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logiciels sont installés depuis le catalogue validé. Les droits d'administration locaux sont réservés aux personnes qui en ont besoin. Le filtrage web bloque les sites malveillants.</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8.1, 8.23</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POS-04</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La charte d'utilisation des moyens informatiques, annexée au règlement intérieur, est signée à l'arrivée : usage professionnel, usage personnel raisonnable toléré, interdits.</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5.10</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POS-05</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sessions se verrouillent automatiquement après 5 minutes d'inactivité et doivent être verrouillées dès que l'on s'éloigne. Aucun document Confidentiel ne reste sur un bureau ; les impressions sont récupérées immédiatement.</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7.7</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POS-06</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En télétravail et en déplacement : réseau domestique protégé ou partage de connexion du téléphone (jamais de Wi-Fi public en direct), conversations confidentielles hors de portée d'oreille, filtre de confidentialité dans les transports.</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6.7, 7.9</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POS-07</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Toute perte ou tout vol d'appareil est déclaré à l'informatique interne dans les 24 heures, et si possible dans l'heure, pour déclencher l'effacement à distance.</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6.8, 7.9</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POS-08</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supports amovibles sont déconseillés. Lorsqu'ils sont indispensables, ils sont fournis par NotAge et chiffrés.</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7.10</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POS-09</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bureaux sont accessibles par badge nominatif ; les visiteurs sont enregistrés et accompagnés ; les locaux sont fermés à clé en dehors des heures ouvrées ; l'équipement réseau est dans une baie fermée. L'immeuble est équipé d'une alarme et d'une vidéosurveillance.</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7.1, 7.2, 7.3, 7.4, 7.8</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POS-10</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Avant maintenance, réattribution ou recyclage, les données sont sauvegardées puis effacées ; l'effacement est certifié avant tout recyclage.</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7.13, 7.14</w:t>
            </w:r>
          </w:p>
        </w:tc>
      </w:tr>
    </w:tbl>
    <w:p>
      <w:pPr>
        <w:spacing w:after="80"/>
      </w:pPr>
    </w:p>
    <w:p>
      <w:pPr>
        <w:pStyle w:val="Heading1"/>
        <w:keepNext/>
      </w:pPr>
      <w:r>
        <w:t xml:space="preserve">7. Infrastructure cloud et exploitation</w:t>
      </w:r>
    </w:p>
    <w:p>
      <w:pPr>
        <w:keepNext/>
        <w:spacing w:after="100" w:line="264"/>
      </w:pPr>
      <w:r>
        <w:rPr>
          <w:b w:val="false"/>
          <w:bCs w:val="false"/>
          <w:i w:val="false"/>
          <w:iCs w:val="false"/>
        </w:rPr>
        <w:t xml:space="preserve">La plateforme est entièrement hébergée sur AWS. NotAge est responsable de la sécurité de ce qu'elle déploie et configure dans le cloud ; AWS l'est de l'infrastructure physique (modèle de responsabilité partagée).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cantSplit/>
          <w:tblHeader/>
        </w:trPr>
        <w:tc>
          <w:tcPr>
            <w:tcW w:type="dxa" w:w="10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Règle</w:t>
            </w:r>
          </w:p>
        </w:tc>
        <w:tc>
          <w:tcPr>
            <w:tcW w:type="dxa" w:w="7138"/>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Exigence</w:t>
            </w:r>
          </w:p>
        </w:tc>
        <w:tc>
          <w:tcPr>
            <w:tcW w:type="dxa" w:w="15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Annexe A</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EXP-01</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Seuls les services AWS autorisés sont utilisés. La production, les environnements hors production, les sauvegardes et les journaux sont dans des comptes AWS distincts. Les données des clients restent dans la région de Paris ; les sauvegardes sont copiées dans une autre région de l'Union européenne.</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5.23, 8.22</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EXP-02</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L'infrastructure est décrite en code et suit des configurations de référence (accès public bloqué, chiffrement et journalisation activés). Toute modification passe par une revue. Un contrôle automatique continu signale toute dérive.</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8.9</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EXP-03</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bases de données et les services internes ne sont jamais exposés à Internet. Le trafic entrant passe uniquement par le répartiteur de charge, le pare-feu applicatif et la protection contre le déni de service.</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8.20, 8.21</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EXP-04</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données sont chiffrées en transit (TLS 1.2 au minimum) et au repos. Les clés sont gérées par le service de gestion de clés d'AWS ; leur usage est restreint et journalisé.</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8.24</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EXP-05</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vulnérabilités sont corrigées dans les délais suivants : critique, 15 jours ; élevée, 30 jours ; moyenne, 90 jours. Tout dépassement est accepté par écrit par le propriétaire du risque. Un test d'intrusion est réalisé chaque année.</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8.8</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EXP-06</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La base de données est sauvegardée en continu (perte d'une heure au plus). Des copies quotidiennes chiffrées et immuables sont conservées 35 jours dans un compte séparé. Une restauration est testée chaque trimestre et documentée.</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8.13</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EXP-07</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journaux applicatifs (connexions, modifications de coordonnées bancaires, exports, actions d'administration) et d'infrastructure sont centralisés, protégés contre la modification et conservés un an. Les horloges sont synchronisées sur une source de référence.</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8.15, 8.17</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EXP-08</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Des alertes signalent les événements sensibles : suppression de sauvegardes, modification des droits, exposition publique d'une ressource, connexion inhabituelle suivie d'un changement d'IBAN. Elles sont traitées selon la procédure NTG-SMSI-PRC-001.</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8.16</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EXP-09</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exports massifs de données et la présence d'IBAN dans les tickets ou les messages sont détectés et signalés.</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8.12</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EXP-10</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La plateforme s'adapte automatiquement à la charge. La capacité est suivie, et testée avant les périodes de clôture.</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8.6</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EXP-11</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procédures d'exploitation (déploiement, sauvegarde, restauration, renouvellement des secrets) sont documentées et accessibles à l'équipe d'astreinte.</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5.37</w:t>
            </w:r>
          </w:p>
        </w:tc>
      </w:tr>
    </w:tbl>
    <w:p>
      <w:pPr>
        <w:spacing w:after="80"/>
      </w:pPr>
    </w:p>
    <w:p>
      <w:pPr>
        <w:pStyle w:val="Heading1"/>
        <w:keepNext/>
      </w:pPr>
      <w:r>
        <w:t xml:space="preserve">8. Développement sécurisé et gestion des changements</w:t>
      </w:r>
    </w:p>
    <w:p>
      <w:pPr>
        <w:keepNext/>
        <w:spacing w:after="100" w:line="264"/>
      </w:pPr>
      <w:r>
        <w:rPr>
          <w:b w:val="false"/>
          <w:bCs w:val="false"/>
          <w:i w:val="false"/>
          <w:iCs w:val="false"/>
        </w:rPr>
        <w:t xml:space="preserve">NotAge développe elle-même sa plateforme. La sécurité applicative non outillée est l'une des cinq causes racines de ses risques (R01, R03, R05).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cantSplit/>
          <w:tblHeader/>
        </w:trPr>
        <w:tc>
          <w:tcPr>
            <w:tcW w:type="dxa" w:w="10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Règle</w:t>
            </w:r>
          </w:p>
        </w:tc>
        <w:tc>
          <w:tcPr>
            <w:tcW w:type="dxa" w:w="7138"/>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Exigence</w:t>
            </w:r>
          </w:p>
        </w:tc>
        <w:tc>
          <w:tcPr>
            <w:tcW w:type="dxa" w:w="15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Annexe A</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DEV-01</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Toute fonctionnalité touchant aux paiements, à l'authentification ou aux données personnelles fait l'objet d'une analyse de sécurité avant son développement (menaces, exigences), validée par la RSSI.</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5.8, 8.25, 8.27</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DEV-02</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Toute modification d'IBAN exige la validation de deux utilisateurs distincts du client et déclenche une notification au fournisseur concerné et à l'administrateur du client. Le cloisonnement des données entre clients est vérifié à chaque requête.</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8.26, 8.27</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DEV-03</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 code respecte les règles de codage sécurisé de NotAge, fondées sur les recommandations de l'OWASP. Les dépendances proviennent de sources fiables ; les actions tierces de la chaîne CI/CD sont figées sur une version vérifiée.</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8.28</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DEV-04</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L'accès à GitHub se fait par SSO et authentification multifacteur, selon le besoin. La branche principale est protégée : aucune modification directe, revue obligatoire par une autre personne, tests réussis.</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5.3, 8.4</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DEV-05</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Chaque demande de fusion déclenche une analyse automatique du code, des dépendances et des secrets. Une vulnérabilité critique bloque la fusion.</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8.29</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DEV-06</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Tout changement en production passe par la chaîne CI/CD, après revue, avec un plan de retour arrière et un déploiement progressif. Aucune installation manuelle n'est faite en production.</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8.19, 8.32</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DEV-07</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mises en production majeures sont gelées pendant les clôtures (du dernier jour ouvré du mois au troisième jour ouvré du mois suivant), sauf correctif urgent validé par le CTO.</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8.32</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DEV-08</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Production et recette sont dans des comptes AWS distincts. Les développeurs n'ont pas d'accès permanent à la production. Aucune donnée de production n'est utilisée en test sans anonymisation.</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8.31, 8.33</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DEV-09</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tests d'intrusion et d'audit sont encadrés par une convention, autorisés par le CTO et planifiés hors des périodes de clôture.</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8.34</w:t>
            </w:r>
          </w:p>
        </w:tc>
      </w:tr>
    </w:tbl>
    <w:p>
      <w:pPr>
        <w:spacing w:after="80"/>
      </w:pPr>
    </w:p>
    <w:p>
      <w:pPr>
        <w:pStyle w:val="Heading1"/>
        <w:keepNext/>
      </w:pPr>
      <w:r>
        <w:t xml:space="preserve">9. Relations avec les fournisseurs</w:t>
      </w:r>
    </w:p>
    <w:p>
      <w:pPr>
        <w:keepNext/>
        <w:spacing w:after="100" w:line="264"/>
      </w:pPr>
      <w:r>
        <w:rPr>
          <w:b w:val="false"/>
          <w:bCs w:val="false"/>
          <w:i w:val="false"/>
          <w:iCs w:val="false"/>
        </w:rPr>
        <w:t xml:space="preserve">NotAge dépend de fournisseurs qui hébergent ou traitent les données de ses clients. Elle en reste responsable vis-à-vis de ces derniers, en particulier des clients financiers soumis à DORA.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cantSplit/>
          <w:tblHeader/>
        </w:trPr>
        <w:tc>
          <w:tcPr>
            <w:tcW w:type="dxa" w:w="10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Règle</w:t>
            </w:r>
          </w:p>
        </w:tc>
        <w:tc>
          <w:tcPr>
            <w:tcW w:type="dxa" w:w="7138"/>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Exigence</w:t>
            </w:r>
          </w:p>
        </w:tc>
        <w:tc>
          <w:tcPr>
            <w:tcW w:type="dxa" w:w="15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Annexe A</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FOU-01</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fournisseurs sont classés en trois niveaux. Sont critiques ceux qui accèdent aux données des clients ou sont indispensables au service : AWS, GitHub, Google Workspace, l'outil de support, le service d'envoi d'e-mails transactionnels. Le registre des fournisseurs est tenu par le CFO et la RSSI.</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5.19</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FOU-02</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Avant de contracter avec un fournisseur critique, NotAge évalue sa sécurité : certifications (ISO/IEC 27001, SOC 2), questionnaire, localisation des données, sous-traitants.</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5.19, 5.21</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FOU-03</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contrats des fournisseurs critiques comprennent au minimum : obligations de sécurité, notification des incidents sous 48 heures, localisation des données dans l'Union européenne, droit d'audit ou remise de rapports d'audit, encadrement de la sous-traitance, réversibilité et suppression des données en fin de contrat, accord de sous-traitance RGPD.</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5.20</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FOU-04</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fournisseurs critiques sont revus chaque année : validité des certifications, incidents survenus, changements de service.</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5.22</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FOU-05</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services cloud sont configurés selon la section 7. Une stratégie de sortie d'AWS est documentée et revue chaque année.</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5.23</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FOU-06</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composants logiciels tiers (bibliothèques, actions CI/CD) sont inventoriés et leurs mises à jour suivies.</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5.21</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FOU-07</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NotAge respecte les engagements pris envers ses clients financiers au titre de DORA : notification des incidents, droit d'audit, localisation des données, continuité, réversibilité.</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5.20, 5.31</w:t>
            </w:r>
          </w:p>
        </w:tc>
      </w:tr>
    </w:tbl>
    <w:p>
      <w:pPr>
        <w:spacing w:after="80"/>
      </w:pPr>
    </w:p>
    <w:p>
      <w:pPr>
        <w:pStyle w:val="Heading1"/>
        <w:keepNext/>
      </w:pPr>
      <w:r>
        <w:t xml:space="preserve">10. Gestion des incidents de sécurité</w:t>
      </w:r>
    </w:p>
    <w:p>
      <w:pPr>
        <w:keepNext/>
        <w:spacing w:after="100" w:line="264"/>
      </w:pPr>
      <w:r>
        <w:rPr>
          <w:b w:val="false"/>
          <w:bCs w:val="false"/>
          <w:i w:val="false"/>
          <w:iCs w:val="false"/>
        </w:rPr>
        <w:t xml:space="preserve">Détecter vite et réagir de façon organisée limite les conséquences d'un incident. Le déroulé complet, la grille de gravité et les fiches réflexes figurent dans la procédure NTG-SMSI-PRC-001.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cantSplit/>
          <w:tblHeader/>
        </w:trPr>
        <w:tc>
          <w:tcPr>
            <w:tcW w:type="dxa" w:w="10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Règle</w:t>
            </w:r>
          </w:p>
        </w:tc>
        <w:tc>
          <w:tcPr>
            <w:tcW w:type="dxa" w:w="7138"/>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Exigence</w:t>
            </w:r>
          </w:p>
        </w:tc>
        <w:tc>
          <w:tcPr>
            <w:tcW w:type="dxa" w:w="15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Annexe A</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INC-01</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Tout salarié signale sans délai tout événement suspect (e-mail douteux, appareil perdu, comportement anormal, erreur d'envoi) via le canal unique : bouton de signalement de la messagerie ou canal Slack #securite. La RSSI accuse réception dans l'heure ouvrée.</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6.8</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INC-02</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Un signalement de bonne foi n'entraîne jamais de sanction, même lorsqu'il porte sur une erreur de son auteur.</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6.8</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INC-03</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Chaque événement est qualifié selon la grille de gravité de la procédure (P1 à P4). Une astreinte est assurée jour et nuit par l'équipe infrastructure ; une cellule de crise est réunie pour tout incident P1.</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5.24, 5.25</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INC-04</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clients concernés sont informés dans les 24 heures suivant la qualification d'un incident majeur ou d'une violation de leurs données, sauf délai contractuel plus court. NotAge notifie la CNIL sous 72 heures pour ses propres traitements, prévient son assureur et, si NIS2 lui devient applicable, l'ANSSI.</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5.5, 5.26</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INC-05</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preuves (journaux, copies) sont conservées intactes ; aucune action destructrice n'est engagée avant leur copie. Une plainte est déposée en cas de fraude.</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5.28</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INC-06</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Tout incident P1 ou P2 donne lieu à un retour d'expérience sous 15 jours. Les actions correctives sont suivies en comité de sécurité. La RSSI tient le registre des incidents.</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5.27</w:t>
            </w:r>
          </w:p>
        </w:tc>
      </w:tr>
    </w:tbl>
    <w:p>
      <w:pPr>
        <w:spacing w:after="80"/>
      </w:pPr>
    </w:p>
    <w:p>
      <w:pPr>
        <w:pStyle w:val="Heading1"/>
        <w:keepNext/>
      </w:pPr>
      <w:r>
        <w:t xml:space="preserve">11. Continuité d'activité</w:t>
      </w:r>
    </w:p>
    <w:p>
      <w:pPr>
        <w:keepNext/>
        <w:spacing w:after="100" w:line="264"/>
      </w:pPr>
      <w:r>
        <w:rPr>
          <w:b w:val="false"/>
          <w:bCs w:val="false"/>
          <w:i w:val="false"/>
          <w:iCs w:val="false"/>
        </w:rPr>
        <w:t xml:space="preserve">Les clients utilisent NotAge pour leurs clôtures comptables mensuelles : une interruption à ce moment a des conséquences directes (R08). La continuité couvre aussi le risque climatique retenu dans l'analyse du contexte.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cantSplit/>
          <w:tblHeader/>
        </w:trPr>
        <w:tc>
          <w:tcPr>
            <w:tcW w:type="dxa" w:w="10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Règle</w:t>
            </w:r>
          </w:p>
        </w:tc>
        <w:tc>
          <w:tcPr>
            <w:tcW w:type="dxa" w:w="7138"/>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Exigence</w:t>
            </w:r>
          </w:p>
        </w:tc>
        <w:tc>
          <w:tcPr>
            <w:tcW w:type="dxa" w:w="15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Annexe A</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CON-01</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objectifs de reprise de la plateforme sont les suivants : reprise en 4 heures au plus (RTO), perte de données d'une heure au plus (RPO).</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5.30</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CON-02</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La plateforme est répartie sur au moins deux zones de disponibilité AWS ; les sauvegardes sont copiées dans une autre région de l'Union européenne.</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8.14</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CON-03</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Un plan de reprise documenté couvre la perte d'une zone, la perte de la région, le rançongiciel et la corruption de données. Il est testé chaque année ; les résultats sont présentés en revue de direction.</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5.30</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CON-04</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En mode dégradé, les mesures de sécurité restent en vigueur (authentification, journalisation, cloisonnement). Toute dérogation temporaire est validée par la RSSI et tracée.</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5.29</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CON-05</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En cas d'indisponibilité des bureaux (crue, canicule, sinistre), l'activité bascule en télétravail complet ; aucun service critique ne dépend des locaux.</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7.5, 7.11</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CON-06</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rôles critiques (administration AWS, déploiement) sont documentés et disposent d'un suppléant formé.</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5.30</w:t>
            </w:r>
          </w:p>
        </w:tc>
      </w:tr>
    </w:tbl>
    <w:p>
      <w:pPr>
        <w:spacing w:after="80"/>
      </w:pPr>
    </w:p>
    <w:p>
      <w:pPr>
        <w:pStyle w:val="Heading1"/>
        <w:keepNext/>
      </w:pPr>
      <w:r>
        <w:t xml:space="preserve">12. Conformité, protection des données et contrôle</w:t>
      </w:r>
    </w:p>
    <w:p>
      <w:pPr>
        <w:keepNext/>
        <w:spacing w:after="100" w:line="264"/>
      </w:pPr>
      <w:r>
        <w:rPr>
          <w:b w:val="false"/>
          <w:bCs w:val="false"/>
          <w:i w:val="false"/>
          <w:iCs w:val="false"/>
        </w:rPr>
        <w:t xml:space="preserve">NotAge doit respecter le RGPD, ses engagements contractuels et, le cas échéant, NIS2. Cette section fixe aussi la façon dont l'application de la PSSI est contrôlée.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cantSplit/>
          <w:tblHeader/>
        </w:trPr>
        <w:tc>
          <w:tcPr>
            <w:tcW w:type="dxa" w:w="10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Règle</w:t>
            </w:r>
          </w:p>
        </w:tc>
        <w:tc>
          <w:tcPr>
            <w:tcW w:type="dxa" w:w="7138"/>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Exigence</w:t>
            </w:r>
          </w:p>
        </w:tc>
        <w:tc>
          <w:tcPr>
            <w:tcW w:type="dxa" w:w="15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Annexe A</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CNF-01</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exigences légales, réglementaires et contractuelles sont recensées (NTG-SMSI-CTX-002) et suivies par une veille assurée par la RSSI et le DPO.</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5.31</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CNF-02</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Un DPO est désigné. NotAge tient le registre de ses traitements, signe un accord de sous-traitance (article 28 du RGPD) avec chaque client, applique la minimisation des données et mène une analyse d'impact pour tout traitement à risque.</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5.34</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CNF-03</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À la fin d'un contrat, les données du client lui sont restituées puis supprimées sous 90 jours ; les sauvegardes sont effacées à l'expiration de leur cycle. Un certificat de suppression est fourni sur demande.</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8.10</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CNF-04</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licences logicielles sont suivies ; seuls les composants open source dont la licence est compatible avec l'offre de NotAge sont utilisés.</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5.32</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CNF-05</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Les enregistrements du SMSI sont protégés et conservés au moins trois ans, les journaux un an, sauf obligation plus longue.</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5.33</w:t>
            </w:r>
          </w:p>
        </w:tc>
      </w:tr>
      <w:tr>
        <w:trPr>
          <w:cantSplit/>
        </w:trPr>
        <w:tc>
          <w:tcPr>
            <w:tcW w:type="dxa" w:w="10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CNF-06</w:t>
            </w:r>
          </w:p>
        </w:tc>
        <w:tc>
          <w:tcPr>
            <w:tcW w:type="dxa" w:w="7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L'application de la PSSI est contrôlée par les managers et la RSSI, suivie par des indicateurs en comité de sécurité, et vérifiée chaque année par un audit interne confié à un prestataire externe.</w:t>
            </w:r>
          </w:p>
        </w:tc>
        <w:tc>
          <w:tcPr>
            <w:tcW w:type="dxa" w:w="1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5.35, 5.36</w:t>
            </w:r>
          </w:p>
        </w:tc>
      </w:tr>
      <w:tr>
        <w:trPr>
          <w:cantSplit/>
        </w:trPr>
        <w:tc>
          <w:tcPr>
            <w:tcW w:type="dxa" w:w="10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CNF-07</w:t>
            </w:r>
          </w:p>
        </w:tc>
        <w:tc>
          <w:tcPr>
            <w:tcW w:type="dxa" w:w="7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La PSSI est revue au moins une fois par an, ainsi qu'après tout incident majeur, tout changement significatif ou toute évolution réglementaire (entrée en vigueur de NIS2, par exemple).</w:t>
            </w:r>
          </w:p>
        </w:tc>
        <w:tc>
          <w:tcPr>
            <w:tcW w:type="dxa" w:w="1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5.1</w:t>
            </w:r>
          </w:p>
        </w:tc>
      </w:tr>
    </w:tbl>
    <w:p>
      <w:pPr>
        <w:spacing w:after="80"/>
      </w:pPr>
    </w:p>
    <w:p>
      <w:pPr>
        <w:pStyle w:val="Heading1"/>
        <w:keepNext/>
      </w:pPr>
      <w:r>
        <w:t xml:space="preserve">Approbation</w:t>
      </w:r>
    </w:p>
    <w:p>
      <w:pPr>
        <w:keepNext/>
        <w:spacing w:after="100" w:line="264"/>
      </w:pPr>
      <w:r>
        <w:rPr>
          <w:b w:val="false"/>
          <w:bCs w:val="false"/>
          <w:i w:val="false"/>
          <w:iCs w:val="false"/>
        </w:rPr>
        <w:t xml:space="preserve">La présente PSSI a été présentée au comité de sécurité puis approuvée par la direction générale. Elle entre en vigueur à sa date d'approbation et est portée à la connaissance de chaque collaborateur.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D3DE" w:sz="4"/>
              <w:left w:val="single" w:color="C9D3DE" w:sz="4"/>
              <w:bottom w:val="single" w:color="C9D3DE" w:sz="4"/>
              <w:right w:val="single" w:color="C9D3DE" w:sz="4"/>
            </w:tcBorders>
            <w:tcMar>
              <w:top w:type="dxa" w:w="120"/>
              <w:left w:type="dxa" w:w="160"/>
              <w:bottom w:type="dxa" w:w="120"/>
              <w:right w:type="dxa" w:w="160"/>
            </w:tcMar>
          </w:tcPr>
          <w:p>
            <w:pPr>
              <w:spacing w:after="60"/>
            </w:pPr>
            <w:r>
              <w:rPr>
                <w:b/>
                <w:bCs/>
                <w:color w:val="1F3A5F"/>
                <w:sz w:val="22"/>
                <w:szCs w:val="22"/>
              </w:rPr>
              <w:t xml:space="preserve">Rédigée par</w:t>
            </w:r>
          </w:p>
          <w:p>
            <w:pPr>
              <w:spacing w:after="60"/>
            </w:pPr>
            <w:r>
              <w:rPr>
                <w:sz w:val="22"/>
                <w:szCs w:val="22"/>
              </w:rPr>
              <w:t xml:space="preserve">La RSSI</w:t>
            </w:r>
          </w:p>
          <w:p>
            <w:pPr>
              <w:spacing w:after="360"/>
            </w:pPr>
            <w:r>
              <w:rPr>
                <w:sz w:val="22"/>
                <w:szCs w:val="22"/>
              </w:rPr>
              <w:t xml:space="preserve">Date : 27/09/2026</w:t>
            </w:r>
          </w:p>
          <w:p>
            <w:r>
              <w:rPr>
                <w:i/>
                <w:iCs/>
                <w:color w:val="666666"/>
                <w:sz w:val="20"/>
                <w:szCs w:val="20"/>
              </w:rPr>
              <w:t xml:space="preserve">Visa</w:t>
            </w:r>
          </w:p>
        </w:tc>
        <w:tc>
          <w:tcPr>
            <w:tcW w:type="dxa" w:w="4819"/>
            <w:tcBorders>
              <w:top w:val="single" w:color="C9D3DE" w:sz="4"/>
              <w:left w:val="single" w:color="C9D3DE" w:sz="4"/>
              <w:bottom w:val="single" w:color="C9D3DE" w:sz="4"/>
              <w:right w:val="single" w:color="C9D3DE" w:sz="4"/>
            </w:tcBorders>
            <w:tcMar>
              <w:top w:type="dxa" w:w="120"/>
              <w:left w:type="dxa" w:w="160"/>
              <w:bottom w:type="dxa" w:w="120"/>
              <w:right w:type="dxa" w:w="160"/>
            </w:tcMar>
          </w:tcPr>
          <w:p>
            <w:pPr>
              <w:spacing w:after="60"/>
            </w:pPr>
            <w:r>
              <w:rPr>
                <w:b/>
                <w:bCs/>
                <w:color w:val="1F3A5F"/>
                <w:sz w:val="22"/>
                <w:szCs w:val="22"/>
              </w:rPr>
              <w:t xml:space="preserve">Approuvée par</w:t>
            </w:r>
          </w:p>
          <w:p>
            <w:pPr>
              <w:spacing w:after="60"/>
            </w:pPr>
            <w:r>
              <w:rPr>
                <w:sz w:val="22"/>
                <w:szCs w:val="22"/>
              </w:rPr>
              <w:t xml:space="preserve">Le directeur général (CEO)</w:t>
            </w:r>
          </w:p>
          <w:p>
            <w:pPr>
              <w:spacing w:after="360"/>
            </w:pPr>
            <w:r>
              <w:rPr>
                <w:sz w:val="22"/>
                <w:szCs w:val="22"/>
              </w:rPr>
              <w:t xml:space="preserve">Date : 27/09/2026</w:t>
            </w:r>
          </w:p>
          <w:p>
            <w:r>
              <w:rPr>
                <w:i/>
                <w:iCs/>
                <w:color w:val="666666"/>
                <w:sz w:val="20"/>
                <w:szCs w:val="20"/>
              </w:rPr>
              <w:t xml:space="preserve">Visa</w:t>
            </w:r>
          </w:p>
        </w:tc>
      </w:tr>
    </w:tbl>
    <w:p>
      <w:pPr>
        <w:pStyle w:val="Heading1"/>
        <w:keepNext/>
        <w:pageBreakBefore/>
      </w:pPr>
      <w:r>
        <w:t xml:space="preserve">Annexe — Correspondance entre scénarios de risque et règles</w:t>
      </w:r>
    </w:p>
    <w:p>
      <w:pPr>
        <w:keepNext/>
        <w:spacing w:after="100" w:line="264"/>
      </w:pPr>
      <w:r>
        <w:rPr>
          <w:b w:val="false"/>
          <w:bCs w:val="false"/>
          <w:i w:val="false"/>
          <w:iCs w:val="false"/>
        </w:rPr>
        <w:t xml:space="preserve">Chaque scénario du registre des risques (NTG-SMSI-RSK-002) est traité par des règles de la présente PSSI. Le niveau de risque est indiqué avant traitement puis après, tel que visé par le plan de traitement (NTG-SMSI-RSK-004).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138"/>
        <w:gridCol w:w="1100"/>
        <w:gridCol w:w="3500"/>
      </w:tblGrid>
      <w:tr>
        <w:trPr>
          <w:cantSplit/>
          <w:tblHeader/>
        </w:trPr>
        <w:tc>
          <w:tcPr>
            <w:tcW w:type="dxa" w:w="9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Risque</w:t>
            </w:r>
          </w:p>
        </w:tc>
        <w:tc>
          <w:tcPr>
            <w:tcW w:type="dxa" w:w="4138"/>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Scénario</w:t>
            </w:r>
          </w:p>
        </w:tc>
        <w:tc>
          <w:tcPr>
            <w:tcW w:type="dxa" w:w="11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Niveau</w:t>
            </w:r>
          </w:p>
        </w:tc>
        <w:tc>
          <w:tcPr>
            <w:tcW w:type="dxa" w:w="3500"/>
            <w:tcBorders>
              <w:top w:val="single" w:color="C9D3DE" w:sz="4"/>
              <w:left w:val="single" w:color="C9D3DE" w:sz="4"/>
              <w:bottom w:val="single" w:color="C9D3DE" w:sz="4"/>
              <w:right w:val="single" w:color="C9D3DE" w:sz="4"/>
            </w:tcBorders>
            <w:shd w:fill="1F3A5F" w:color="auto" w:val="clear"/>
            <w:tcMar>
              <w:top w:type="dxa" w:w="50"/>
              <w:left w:type="dxa" w:w="100"/>
              <w:bottom w:type="dxa" w:w="50"/>
              <w:right w:type="dxa" w:w="100"/>
            </w:tcMar>
          </w:tcPr>
          <w:p>
            <w:pPr>
              <w:spacing w:after="0" w:line="252"/>
            </w:pPr>
            <w:r>
              <w:rPr>
                <w:b/>
                <w:bCs/>
                <w:i w:val="false"/>
                <w:iCs w:val="false"/>
                <w:color w:val="FFFFFF"/>
                <w:sz w:val="20"/>
                <w:szCs w:val="20"/>
              </w:rPr>
              <w:t xml:space="preserve">Règles de la PSSI</w:t>
            </w:r>
          </w:p>
        </w:tc>
      </w:tr>
      <w:tr>
        <w:trPr>
          <w:cantSplit/>
        </w:trPr>
        <w:tc>
          <w:tcPr>
            <w:tcW w:type="dxa" w:w="9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R01</w:t>
            </w:r>
          </w:p>
        </w:tc>
        <w:tc>
          <w:tcPr>
            <w:tcW w:type="dxa" w:w="4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Fraude au changement d'IBAN fournisseur</w:t>
            </w:r>
          </w:p>
        </w:tc>
        <w:tc>
          <w:tcPr>
            <w:tcW w:type="dxa" w:w="11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12 → 4</w:t>
            </w:r>
          </w:p>
        </w:tc>
        <w:tc>
          <w:tcPr>
            <w:tcW w:type="dxa" w:w="3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ACC-05, DEV-02, EXP-07, EXP-08, RH-05</w:t>
            </w:r>
          </w:p>
        </w:tc>
      </w:tr>
      <w:tr>
        <w:trPr>
          <w:cantSplit/>
        </w:trPr>
        <w:tc>
          <w:tcPr>
            <w:tcW w:type="dxa" w:w="9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R02</w:t>
            </w:r>
          </w:p>
        </w:tc>
        <w:tc>
          <w:tcPr>
            <w:tcW w:type="dxa" w:w="4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Rançongiciel après compromission d'un compte administrateur AWS</w:t>
            </w:r>
          </w:p>
        </w:tc>
        <w:tc>
          <w:tcPr>
            <w:tcW w:type="dxa" w:w="11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12 → 6</w:t>
            </w:r>
          </w:p>
        </w:tc>
        <w:tc>
          <w:tcPr>
            <w:tcW w:type="dxa" w:w="3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ACC-04, ACC-08, ACC-09, EXP-06, EXP-08, INC-03, CON-03</w:t>
            </w:r>
          </w:p>
        </w:tc>
      </w:tr>
      <w:tr>
        <w:trPr>
          <w:cantSplit/>
        </w:trPr>
        <w:tc>
          <w:tcPr>
            <w:tcW w:type="dxa" w:w="9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R03</w:t>
            </w:r>
          </w:p>
        </w:tc>
        <w:tc>
          <w:tcPr>
            <w:tcW w:type="dxa" w:w="4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Vol de données via une vulnérabilité applicative</w:t>
            </w:r>
          </w:p>
        </w:tc>
        <w:tc>
          <w:tcPr>
            <w:tcW w:type="dxa" w:w="11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12 → 8</w:t>
            </w:r>
          </w:p>
        </w:tc>
        <w:tc>
          <w:tcPr>
            <w:tcW w:type="dxa" w:w="3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DEV-01, DEV-03, DEV-05, EXP-05, RH-05</w:t>
            </w:r>
          </w:p>
        </w:tc>
      </w:tr>
      <w:tr>
        <w:trPr>
          <w:cantSplit/>
        </w:trPr>
        <w:tc>
          <w:tcPr>
            <w:tcW w:type="dxa" w:w="9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R04</w:t>
            </w:r>
          </w:p>
        </w:tc>
        <w:tc>
          <w:tcPr>
            <w:tcW w:type="dxa" w:w="4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Exposition de justificatifs par erreur de configuration cloud</w:t>
            </w:r>
          </w:p>
        </w:tc>
        <w:tc>
          <w:tcPr>
            <w:tcW w:type="dxa" w:w="11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 → 4</w:t>
            </w:r>
          </w:p>
        </w:tc>
        <w:tc>
          <w:tcPr>
            <w:tcW w:type="dxa" w:w="3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EXP-01, EXP-02, EXP-08</w:t>
            </w:r>
          </w:p>
        </w:tc>
      </w:tr>
      <w:tr>
        <w:trPr>
          <w:cantSplit/>
        </w:trPr>
        <w:tc>
          <w:tcPr>
            <w:tcW w:type="dxa" w:w="9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R05</w:t>
            </w:r>
          </w:p>
        </w:tc>
        <w:tc>
          <w:tcPr>
            <w:tcW w:type="dxa" w:w="4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Code malveillant ou vol de secrets via la chaîne de développement</w:t>
            </w:r>
          </w:p>
        </w:tc>
        <w:tc>
          <w:tcPr>
            <w:tcW w:type="dxa" w:w="11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8 → 4</w:t>
            </w:r>
          </w:p>
        </w:tc>
        <w:tc>
          <w:tcPr>
            <w:tcW w:type="dxa" w:w="3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ACC-07, DEV-03, DEV-04, DEV-06</w:t>
            </w:r>
          </w:p>
        </w:tc>
      </w:tr>
      <w:tr>
        <w:trPr>
          <w:cantSplit/>
        </w:trPr>
        <w:tc>
          <w:tcPr>
            <w:tcW w:type="dxa" w:w="9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R06</w:t>
            </w:r>
          </w:p>
        </w:tc>
        <w:tc>
          <w:tcPr>
            <w:tcW w:type="dxa" w:w="4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Accès abusif du support aux données clients</w:t>
            </w:r>
          </w:p>
        </w:tc>
        <w:tc>
          <w:tcPr>
            <w:tcW w:type="dxa" w:w="11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6 → 3</w:t>
            </w:r>
          </w:p>
        </w:tc>
        <w:tc>
          <w:tcPr>
            <w:tcW w:type="dxa" w:w="3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ACC-10, RH-02, RH-05</w:t>
            </w:r>
          </w:p>
        </w:tc>
      </w:tr>
      <w:tr>
        <w:trPr>
          <w:cantSplit/>
        </w:trPr>
        <w:tc>
          <w:tcPr>
            <w:tcW w:type="dxa" w:w="9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R07</w:t>
            </w:r>
          </w:p>
        </w:tc>
        <w:tc>
          <w:tcPr>
            <w:tcW w:type="dxa" w:w="4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Compte d'un ancien salarié resté actif</w:t>
            </w:r>
          </w:p>
        </w:tc>
        <w:tc>
          <w:tcPr>
            <w:tcW w:type="dxa" w:w="11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9 → 3</w:t>
            </w:r>
          </w:p>
        </w:tc>
        <w:tc>
          <w:tcPr>
            <w:tcW w:type="dxa" w:w="3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ACC-02, ACC-03, ACC-09, RH-06</w:t>
            </w:r>
          </w:p>
        </w:tc>
      </w:tr>
      <w:tr>
        <w:trPr>
          <w:cantSplit/>
        </w:trPr>
        <w:tc>
          <w:tcPr>
            <w:tcW w:type="dxa" w:w="9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R08</w:t>
            </w:r>
          </w:p>
        </w:tc>
        <w:tc>
          <w:tcPr>
            <w:tcW w:type="dxa" w:w="4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Interruption prolongée en période de clôture</w:t>
            </w:r>
          </w:p>
        </w:tc>
        <w:tc>
          <w:tcPr>
            <w:tcW w:type="dxa" w:w="11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9 → 4</w:t>
            </w:r>
          </w:p>
        </w:tc>
        <w:tc>
          <w:tcPr>
            <w:tcW w:type="dxa" w:w="3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CON-01, CON-02, CON-03, EXP-06, DEV-06, DEV-07</w:t>
            </w:r>
          </w:p>
        </w:tc>
      </w:tr>
      <w:tr>
        <w:trPr>
          <w:cantSplit/>
        </w:trPr>
        <w:tc>
          <w:tcPr>
            <w:tcW w:type="dxa" w:w="9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R09</w:t>
            </w:r>
          </w:p>
        </w:tc>
        <w:tc>
          <w:tcPr>
            <w:tcW w:type="dxa" w:w="4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Hameçonnage ciblé d'un compte de messagerie</w:t>
            </w:r>
          </w:p>
        </w:tc>
        <w:tc>
          <w:tcPr>
            <w:tcW w:type="dxa" w:w="11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6 → 4</w:t>
            </w:r>
          </w:p>
        </w:tc>
        <w:tc>
          <w:tcPr>
            <w:tcW w:type="dxa" w:w="3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RH-03, RH-04, ACC-04, INC-01</w:t>
            </w:r>
          </w:p>
        </w:tc>
      </w:tr>
      <w:tr>
        <w:trPr>
          <w:cantSplit/>
        </w:trPr>
        <w:tc>
          <w:tcPr>
            <w:tcW w:type="dxa" w:w="9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R10</w:t>
            </w:r>
          </w:p>
        </w:tc>
        <w:tc>
          <w:tcPr>
            <w:tcW w:type="dxa" w:w="4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Perte ou vol d'un portable ou d'un smartphone</w:t>
            </w:r>
          </w:p>
        </w:tc>
        <w:tc>
          <w:tcPr>
            <w:tcW w:type="dxa" w:w="11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6 → 3</w:t>
            </w:r>
          </w:p>
        </w:tc>
        <w:tc>
          <w:tcPr>
            <w:tcW w:type="dxa" w:w="3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POS-01, POS-02, POS-06, POS-07</w:t>
            </w:r>
          </w:p>
        </w:tc>
      </w:tr>
      <w:tr>
        <w:trPr>
          <w:cantSplit/>
        </w:trPr>
        <w:tc>
          <w:tcPr>
            <w:tcW w:type="dxa" w:w="9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bCs/>
                <w:i w:val="false"/>
                <w:iCs w:val="false"/>
                <w:sz w:val="20"/>
                <w:szCs w:val="20"/>
              </w:rPr>
              <w:t xml:space="preserve">R11</w:t>
            </w:r>
          </w:p>
        </w:tc>
        <w:tc>
          <w:tcPr>
            <w:tcW w:type="dxa" w:w="4138"/>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Fuite via un fournisseur SaaS compromis</w:t>
            </w:r>
          </w:p>
        </w:tc>
        <w:tc>
          <w:tcPr>
            <w:tcW w:type="dxa" w:w="11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6 → 3</w:t>
            </w:r>
          </w:p>
        </w:tc>
        <w:tc>
          <w:tcPr>
            <w:tcW w:type="dxa" w:w="3500"/>
            <w:tcBorders>
              <w:top w:val="single" w:color="C9D3DE" w:sz="4"/>
              <w:left w:val="single" w:color="C9D3DE" w:sz="4"/>
              <w:bottom w:val="single" w:color="C9D3DE" w:sz="4"/>
              <w:right w:val="single" w:color="C9D3DE" w:sz="4"/>
            </w:tcBorders>
            <w:shd w:fill="FFFFFF" w:color="auto" w:val="clear"/>
            <w:tcMar>
              <w:top w:type="dxa" w:w="50"/>
              <w:left w:type="dxa" w:w="100"/>
              <w:bottom w:type="dxa" w:w="50"/>
              <w:right w:type="dxa" w:w="100"/>
            </w:tcMar>
          </w:tcPr>
          <w:p>
            <w:pPr>
              <w:spacing w:after="0" w:line="252"/>
            </w:pPr>
            <w:r>
              <w:rPr>
                <w:b w:val="false"/>
                <w:bCs w:val="false"/>
                <w:i w:val="false"/>
                <w:iCs w:val="false"/>
                <w:sz w:val="20"/>
                <w:szCs w:val="20"/>
              </w:rPr>
              <w:t xml:space="preserve">FOU-01, FOU-02, FOU-03, FOU-04, ACT-05</w:t>
            </w:r>
          </w:p>
        </w:tc>
      </w:tr>
      <w:tr>
        <w:trPr>
          <w:cantSplit/>
        </w:trPr>
        <w:tc>
          <w:tcPr>
            <w:tcW w:type="dxa" w:w="9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bCs/>
                <w:i w:val="false"/>
                <w:iCs w:val="false"/>
                <w:sz w:val="20"/>
                <w:szCs w:val="20"/>
              </w:rPr>
              <w:t xml:space="preserve">R12</w:t>
            </w:r>
          </w:p>
        </w:tc>
        <w:tc>
          <w:tcPr>
            <w:tcW w:type="dxa" w:w="4138"/>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Accès d'une autorité étrangère via l'hébergeur (risque accepté)</w:t>
            </w:r>
          </w:p>
        </w:tc>
        <w:tc>
          <w:tcPr>
            <w:tcW w:type="dxa" w:w="11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jc w:val="center"/>
            </w:pPr>
            <w:r>
              <w:rPr>
                <w:b w:val="false"/>
                <w:bCs w:val="false"/>
                <w:i w:val="false"/>
                <w:iCs w:val="false"/>
                <w:sz w:val="20"/>
                <w:szCs w:val="20"/>
              </w:rPr>
              <w:t xml:space="preserve">3 → 3</w:t>
            </w:r>
          </w:p>
        </w:tc>
        <w:tc>
          <w:tcPr>
            <w:tcW w:type="dxa" w:w="3500"/>
            <w:tcBorders>
              <w:top w:val="single" w:color="C9D3DE" w:sz="4"/>
              <w:left w:val="single" w:color="C9D3DE" w:sz="4"/>
              <w:bottom w:val="single" w:color="C9D3DE" w:sz="4"/>
              <w:right w:val="single" w:color="C9D3DE" w:sz="4"/>
            </w:tcBorders>
            <w:shd w:fill="F5F8FB" w:color="auto" w:val="clear"/>
            <w:tcMar>
              <w:top w:type="dxa" w:w="50"/>
              <w:left w:type="dxa" w:w="100"/>
              <w:bottom w:type="dxa" w:w="50"/>
              <w:right w:type="dxa" w:w="100"/>
            </w:tcMar>
          </w:tcPr>
          <w:p>
            <w:pPr>
              <w:spacing w:after="0" w:line="252"/>
            </w:pPr>
            <w:r>
              <w:rPr>
                <w:b w:val="false"/>
                <w:bCs w:val="false"/>
                <w:i w:val="false"/>
                <w:iCs w:val="false"/>
                <w:sz w:val="20"/>
                <w:szCs w:val="20"/>
              </w:rPr>
              <w:t xml:space="preserve">EXP-01, EXP-04, FOU-05</w:t>
            </w:r>
          </w:p>
        </w:tc>
      </w:tr>
    </w:tbl>
    <w:p>
      <w:pPr>
        <w:spacing w:after="80"/>
      </w:pPr>
    </w:p>
    <w:sectPr>
      <w:headerReference w:type="default" r:id="rId8"/>
      <w:footerReference w:type="default" r:id="rId9"/>
      <w:pgSz w:w="11906" w:h="16838" w:orient="portrait"/>
      <w:pgMar w:top="1134" w:right="1134" w:bottom="1000" w:left="1134"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i/>
        <w:iCs/>
        <w:color w:val="666666"/>
        <w:sz w:val="15"/>
        <w:szCs w:val="15"/>
      </w:rPr>
      <w:t xml:space="preserve">Document de démonstration — entreprise fictive</w:t>
    </w:r>
    <w:r>
      <w:rPr>
        <w:color w:val="666666"/>
        <w:sz w:val="16"/>
        <w:szCs w:val="16"/>
      </w:rPr>
      <w:tab/>
      <w:t xml:space="preserve">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E" w:sz="4" w:space="4"/>
      </w:pBdr>
      <w:tabs>
        <w:tab w:val="right" w:pos="9638"/>
      </w:tabs>
    </w:pPr>
    <w:r>
      <w:rPr>
        <w:b/>
        <w:bCs/>
        <w:color w:val="1F3A5F"/>
        <w:sz w:val="18"/>
        <w:szCs w:val="18"/>
      </w:rPr>
      <w:t xml:space="preserve">Not</w:t>
    </w:r>
    <w:r>
      <w:rPr>
        <w:b/>
        <w:bCs/>
        <w:color w:val="2E75B6"/>
        <w:sz w:val="18"/>
        <w:szCs w:val="18"/>
      </w:rPr>
      <w:t xml:space="preserve">Age</w:t>
    </w:r>
    <w:r>
      <w:rPr>
        <w:color w:val="666666"/>
        <w:sz w:val="16"/>
        <w:szCs w:val="16"/>
      </w:rPr>
      <w:t xml:space="preserve">  ·  Politique de sécurité des systèmes d'information</w:t>
    </w:r>
    <w:r>
      <w:rPr>
        <w:color w:val="666666"/>
        <w:sz w:val="16"/>
        <w:szCs w:val="16"/>
      </w:rPr>
      <w:tab/>
      <w:t xml:space="preserve">NTG-SMSI-PSSI-001 · v1.0 ·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6" w:space="3"/>
      </w:pBdr>
      <w:spacing w:after="100" w:before="240"/>
      <w:outlineLvl w:val="0"/>
    </w:pPr>
    <w:rPr>
      <w:rFonts w:ascii="Calibri" w:cs="Calibri" w:eastAsia="Calibri" w:hAnsi="Calibri"/>
      <w:b/>
      <w:bCs/>
      <w:color w:val="1F3A5F"/>
      <w:sz w:val="28"/>
      <w:szCs w:val="28"/>
    </w:rPr>
  </w:style>
  <w:style w:type="paragraph" w:styleId="Heading2">
    <w:name w:val="Heading 2"/>
    <w:basedOn w:val="Normal"/>
    <w:next w:val="Normal"/>
    <w:qFormat/>
    <w:pPr>
      <w:keepNext/>
      <w:spacing w:after="10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Politique de sécurité des systèmes d'information — NotAge</dc:title>
  <dc:subject>NTG-SMSI-PSSI-001 v1.0</dc:subject>
  <dc:creator>NotAge — RSSI</dc:creator>
  <cp:lastModifiedBy>Un-named</cp:lastModifiedBy>
  <cp:revision>1</cp:revision>
  <dcterms:created xsi:type="dcterms:W3CDTF">2026-09-27T00:58:37.418Z</dcterms:created>
  <dcterms:modified xsi:type="dcterms:W3CDTF">2026-09-27T00:58:37.418Z</dcterms:modified>
</cp:coreProperties>
</file>

<file path=docProps/custom.xml><?xml version="1.0" encoding="utf-8"?>
<Properties xmlns="http://schemas.openxmlformats.org/officeDocument/2006/custom-properties" xmlns:vt="http://schemas.openxmlformats.org/officeDocument/2006/docPropsVTypes"/>
</file>