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AI Accountant Module — Analysis</w:t>
      </w:r>
    </w:p>
    <w:p>
      <w:pPr>
        <w:spacing w:after="40"/>
      </w:pPr>
      <w:r>
        <w:rPr>
          <w:i/>
          <w:iCs/>
          <w:color w:val="555555"/>
          <w:sz w:val="24"/>
          <w:szCs w:val="24"/>
        </w:rPr>
        <w:t xml:space="preserve">myacc.co.za — bookkeeping, bank reconciliation &amp; AI allocation engine</w:t>
      </w:r>
    </w:p>
    <w:p>
      <w:pPr>
        <w:spacing w:after="300"/>
      </w:pPr>
      <w:r>
        <w:rPr>
          <w:color w:val="888888"/>
          <w:sz w:val="20"/>
          <w:szCs w:val="20"/>
        </w:rPr>
        <w:t xml:space="preserve">Prepared 11 August 2026 — read-only code review, no changes made</w:t>
      </w:r>
    </w:p>
    <w:p>
      <w:pPr>
        <w:pStyle w:val="Heading1"/>
        <w:spacing w:after="160" w:before="320"/>
      </w:pPr>
      <w:r>
        <w:t xml:space="preserve">Executive Summary</w:t>
      </w:r>
    </w:p>
    <w:p>
      <w:pPr>
        <w:spacing w:after="140"/>
      </w:pPr>
      <w:r>
        <w:t xml:space="preserve">The AI Accountant module is the largest and most technically ambitious part of the codebase: a full practice-management bookkeeping system — invoices, quotes, credit notes, general journal, chart of accounts, VAT reporting, trial balance, balance sheet, P&amp;L, age analysis — layered on top of a genuinely well-engineered bank statement reconciliation pipeline. The core allocation logic (rule matching → history matching → fuzzy merchant clustering → AI fallback) is a strong piece of domain-specific engineering, purpose-built for South African bank statement formats.</w:t>
      </w:r>
    </w:p>
    <w:p>
      <w:pPr>
        <w:spacing w:after="140"/>
      </w:pPr>
      <w:r>
        <w:t xml:space="preserve">Two structural problems sit underneath that strong core. First, the partner- and client-facing route trees (/dashboard/ai-accountant/*, and the "Manage Client" link from /partner/ai-accountant/clients) are thin redirect stubs into /admin/ai-accountant/*, but the admin layout only allows admin/staff roles through — so partners following their own product's navigation currently land on the login page. Second, the server actions that move client financial data (src/app/actions/ai-recon.ts) use the Firebase Admin SDK, which bypasses Firestore security rules, and none of them verify the caller has any relationship to the clientId they pass in. This is the same auth-inconsistency pattern seen elsewhere in the codebase, but here it directly touches bank transaction data.</w:t>
      </w:r>
    </w:p>
    <w:p>
      <w:pPr>
        <w:pStyle w:val="Heading2"/>
        <w:spacing w:after="120" w:before="260"/>
      </w:pPr>
      <w:r>
        <w:t xml:space="preserve">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Pr>
          <w:p>
            <w:r>
              <w:rPr>
                <w:b/>
                <w:bCs/>
              </w:rPr>
              <w:t xml:space="preserve">Area</w:t>
            </w:r>
          </w:p>
        </w:tc>
        <w:tc>
          <w:tcPr>
            <w:tcW w:type="dxa" w:w="5800"/>
          </w:tcPr>
          <w:p>
            <w:r>
              <w:t xml:space="preserve">Assessment</w:t>
            </w:r>
          </w:p>
        </w:tc>
      </w:tr>
      <w:tr>
        <w:tc>
          <w:tcPr>
            <w:tcW w:type="dxa" w:w="3200"/>
            <w:shd w:fill="F2F2F2" w:val="clear"/>
          </w:tcPr>
          <w:p>
            <w:r>
              <w:rPr>
                <w:b/>
                <w:bCs/>
              </w:rPr>
              <w:t xml:space="preserve">Allocation engine</w:t>
            </w:r>
          </w:p>
        </w:tc>
        <w:tc>
          <w:tcPr>
            <w:tcW w:type="dxa" w:w="5800"/>
          </w:tcPr>
          <w:p>
            <w:r>
              <w:t xml:space="preserve">Strong — layered rules/history/fuzzy-match/AI pipeline, correctly batched Firestore writes</w:t>
            </w:r>
          </w:p>
        </w:tc>
      </w:tr>
      <w:tr>
        <w:tc>
          <w:tcPr>
            <w:tcW w:type="dxa" w:w="3200"/>
            <w:shd w:fill="F2F2F2" w:val="clear"/>
          </w:tcPr>
          <w:p>
            <w:r>
              <w:rPr>
                <w:b/>
                <w:bCs/>
              </w:rPr>
              <w:t xml:space="preserve">AI prompt design</w:t>
            </w:r>
          </w:p>
        </w:tc>
        <w:tc>
          <w:tcPr>
            <w:tcW w:type="dxa" w:w="5800"/>
          </w:tcPr>
          <w:p>
            <w:r>
              <w:t xml:space="preserve">Strong — calibrated confidence, graceful fallbacks, BYO-API-key support per partner</w:t>
            </w:r>
          </w:p>
        </w:tc>
      </w:tr>
      <w:tr>
        <w:tc>
          <w:tcPr>
            <w:tcW w:type="dxa" w:w="3200"/>
            <w:shd w:fill="F2F2F2" w:val="clear"/>
          </w:tcPr>
          <w:p>
            <w:r>
              <w:rPr>
                <w:b/>
                <w:bCs/>
              </w:rPr>
              <w:t xml:space="preserve">Route architecture</w:t>
            </w:r>
          </w:p>
        </w:tc>
        <w:tc>
          <w:tcPr>
            <w:tcW w:type="dxa" w:w="5800"/>
          </w:tcPr>
          <w:p>
            <w:r>
              <w:t xml:space="preserve">Duplicated three ways (admin/dashboard/partner); dashboard &amp; partner trees are largely stub redirects</w:t>
            </w:r>
          </w:p>
        </w:tc>
      </w:tr>
      <w:tr>
        <w:tc>
          <w:tcPr>
            <w:tcW w:type="dxa" w:w="3200"/>
            <w:shd w:fill="F2F2F2" w:val="clear"/>
          </w:tcPr>
          <w:p>
            <w:r>
              <w:rPr>
                <w:b/>
                <w:bCs/>
              </w:rPr>
              <w:t xml:space="preserve">Client/partner self-service</w:t>
            </w:r>
          </w:p>
        </w:tc>
        <w:tc>
          <w:tcPr>
            <w:tcW w:type="dxa" w:w="5800"/>
          </w:tcPr>
          <w:p>
            <w:r>
              <w:t xml:space="preserve">Broken — redirect chain dead-ends at the admin login gate for non-admin roles</w:t>
            </w:r>
          </w:p>
        </w:tc>
      </w:tr>
      <w:tr>
        <w:tc>
          <w:tcPr>
            <w:tcW w:type="dxa" w:w="3200"/>
            <w:shd w:fill="F2F2F2" w:val="clear"/>
          </w:tcPr>
          <w:p>
            <w:r>
              <w:rPr>
                <w:b/>
                <w:bCs/>
              </w:rPr>
              <w:t xml:space="preserve">Authorization on financial actions</w:t>
            </w:r>
          </w:p>
        </w:tc>
        <w:tc>
          <w:tcPr>
            <w:tcW w:type="dxa" w:w="5800"/>
          </w:tcPr>
          <w:p>
            <w:r>
              <w:t xml:space="preserve">Missing — Admin-SDK server actions have no caller/ownership check</w:t>
            </w:r>
          </w:p>
        </w:tc>
      </w:tr>
    </w:tbl>
    <w:p>
      <w:pPr>
        <w:pStyle w:val="Heading1"/>
        <w:spacing w:after="160" w:before="320"/>
      </w:pPr>
      <w:r>
        <w:t xml:space="preserve">1. Module Footprint</w:t>
      </w:r>
    </w:p>
    <w:p>
      <w:pPr>
        <w:spacing w:after="140"/>
      </w:pPr>
      <w:r>
        <w:t xml:space="preserve">The feature is implemented three times over, once per portal, all keyed on a shared clientId route param:</w:t>
      </w:r>
    </w:p>
    <w:p>
      <w:pPr>
        <w:pStyle w:val="ListParagraph"/>
        <w:numPr>
          <w:ilvl w:val="0"/>
          <w:numId w:val="1"/>
        </w:numPr>
        <w:spacing w:after="80"/>
      </w:pPr>
      <w:r>
        <w:t xml:space="preserve">src/app/admin/ai-accountant/[clientId]/... — the real, fully built-out workspace (~30 pages: dashboard, chart of accounts, customers, suppliers, invoices, quotes, credit notes, general journal, and a full reports suite covering VAT201, trial balance, balance sheet, P&amp;L, general ledger, age analysis, GL recon, and more).</w:t>
      </w:r>
    </w:p>
    <w:p>
      <w:pPr>
        <w:pStyle w:val="ListParagraph"/>
        <w:numPr>
          <w:ilvl w:val="0"/>
          <w:numId w:val="1"/>
        </w:numPr>
        <w:spacing w:after="80"/>
      </w:pPr>
      <w:r>
        <w:t xml:space="preserve">src/app/dashboard/ai-accountant/[clientId]/... — mirrors the same page list, but nearly every page is a short client-side redirect() into the equivalent /admin/ai-accountant/... URL rather than an independent implementation (e.g. bank/transactions/page.tsx is 13 lines; the admin equivalent is 4,531).</w:t>
      </w:r>
    </w:p>
    <w:p>
      <w:pPr>
        <w:pStyle w:val="ListParagraph"/>
        <w:numPr>
          <w:ilvl w:val="0"/>
          <w:numId w:val="1"/>
        </w:numPr>
        <w:spacing w:after="80"/>
      </w:pPr>
      <w:r>
        <w:t xml:space="preserve">src/app/partner/ai-accountant/... — a clients list (545 lines, functional: create/edit/share/delete AI Accountant client profiles) plus allocation-rules and chart-of-accounts pages that are explicit "Coming Soon" placeholders.</w:t>
      </w:r>
    </w:p>
    <w:p>
      <w:pPr>
        <w:pStyle w:val="ListParagraph"/>
        <w:numPr>
          <w:ilvl w:val="0"/>
          <w:numId w:val="1"/>
        </w:numPr>
        <w:spacing w:after="80"/>
      </w:pPr>
      <w:r>
        <w:t xml:space="preserve">src/app/reseller/ai-accountant/... — a thinner two-file variant of the same pattern.</w:t>
      </w:r>
    </w:p>
    <w:p>
      <w:pPr>
        <w:spacing w:after="140"/>
      </w:pPr>
      <w:r>
        <w:t xml:space="preserve">The AI reasoning layer lives separately in src/ai/flows/ (Genkit flows) and is shared across all portals: extract-statement-data, extract-statement-metadata, extract-statement-period, extract-invoice-data, extract-supplier-name, suggest-transaction-allocation, suggest-transaction-allocation-web, suggest-income-allocation, ai-smart-regroup, optimize-allocation-rule, client-allocation-chat, and allocate-from-spreadsheet. Orchestration and Firestore writes happen in src/app/actions/ai-recon.ts (697 lines), called directly from the large admin page components.</w:t>
      </w:r>
    </w:p>
    <w:p>
      <w:pPr>
        <w:pStyle w:val="Heading1"/>
        <w:spacing w:after="160" w:before="320"/>
      </w:pPr>
      <w:r>
        <w:t xml:space="preserve">2. The Reconciliation Pipeline (the strong part)</w:t>
      </w:r>
    </w:p>
    <w:p>
      <w:pPr>
        <w:spacing w:after="140"/>
      </w:pPr>
      <w:r>
        <w:t xml:space="preserve">When a bank statement is imported, transactions move through status states (new → ai_processing → ai_review → reviewed/allocated) and are resolved in a deliberate priority order, implemented in runAiAccountantAnalysis and matchTransactionsToHistory:</w:t>
      </w:r>
    </w:p>
    <w:p>
      <w:pPr>
        <w:pStyle w:val="ListParagraph"/>
        <w:numPr>
          <w:ilvl w:val="0"/>
          <w:numId w:val="1"/>
        </w:numPr>
        <w:spacing w:after="80"/>
      </w:pPr>
      <w:r>
        <w:t xml:space="preserve">1. Rule match — the client's own allocation rules, plus firm-wide global rules (unless disabled per client), matched by keyword against a cleaned transaction description. A rule match gets 100% confidence.</w:t>
      </w:r>
    </w:p>
    <w:p>
      <w:pPr>
        <w:pStyle w:val="ListParagraph"/>
        <w:numPr>
          <w:ilvl w:val="0"/>
          <w:numId w:val="1"/>
        </w:numPr>
        <w:spacing w:after="80"/>
      </w:pPr>
      <w:r>
        <w:t xml:space="preserve">2. History match — if no rule fires, the engine looks at the client's own past allocations for the same merchant key and picks whichever account/VAT combination was used most often historically (95% confidence).</w:t>
      </w:r>
    </w:p>
    <w:p>
      <w:pPr>
        <w:pStyle w:val="ListParagraph"/>
        <w:numPr>
          <w:ilvl w:val="0"/>
          <w:numId w:val="1"/>
        </w:numPr>
        <w:spacing w:after="80"/>
      </w:pPr>
      <w:r>
        <w:t xml:space="preserve">3. Fuzzy merchant clustering — proposeRegroups groups transactions by a generated "merchant key," then uses a union-find (disjoint-set) structure over a similarity score to merge near-duplicate merchant groups (e.g. "VODA" and "VODACOM"), weighted so smaller groups fold into larger, more established ones. A separate AI-driven variant (proposeAiRegroups / ai-smart-regroup.ts) asks Gemini to propose the same kind of merges using South African retail/telco/fuel-brand knowledge, gated to 80%+ confidence.</w:t>
      </w:r>
    </w:p>
    <w:p>
      <w:pPr>
        <w:pStyle w:val="ListParagraph"/>
        <w:numPr>
          <w:ilvl w:val="0"/>
          <w:numId w:val="1"/>
        </w:numPr>
        <w:spacing w:after="80"/>
      </w:pPr>
      <w:r>
        <w:t xml:space="preserve">4. AI fallback — only once rules and history are exhausted does suggest-transaction-allocation.ts call Gemini directly, with a prompt that explicitly instructs low confidence (&lt;15) and a fixed "could not find information" summary for generic descriptions like "DEBIT ORDER" or "TRANSFER," rather than letting the model guess confidently on thin information. VAT type is hard-forced to no_vat when the client isn't VAT-registered, as an instruction to the model rather than only a post-hoc check.</w:t>
      </w:r>
    </w:p>
    <w:p>
      <w:pPr>
        <w:spacing w:after="140"/>
      </w:pPr>
      <w:r>
        <w:t xml:space="preserve">The text-cleaning layer behind all of this, src/lib/bank-cleaner.ts, is a dedicated, regex-first South African bank statement normalizer: it strips bank/channel noise (FNB, ABSA, PAYSHAP, POS, EFT prefixes), reference numbers, dates, legal suffixes, and branch codes, then generates a stable "merchant key" and a separate similarity key used for fuzzy matching (Jaccard token overlap blended with Levenshtein edit distance, with a penalty for collisions on generic first words like "THE" or "PAYMENT" so unrelated merchants don't get merged just because they share a common opening word). It carries a version tag (za_banks_v1.4) suggesting it has already been iterated on in production.</w:t>
      </w:r>
    </w:p>
    <w:p>
      <w:pPr>
        <w:spacing w:after="140"/>
      </w:pPr>
      <w:r>
        <w:t xml:space="preserve">Operationally, every batch Firestore write in this pipeline is chunked at 400–450 documents, correctly staying under Firestore's 500-writes-per-batch limit — a detail that's easy to get wrong and wasn't.</w:t>
      </w:r>
    </w:p>
    <w:p>
      <w:pPr>
        <w:spacing w:after="140"/>
      </w:pPr>
      <w:r>
        <w:t xml:space="preserve">There is also a conversational reconciliation mode: client-allocation-chat.ts implements "Khai," an AI persona that asks the client about one unallocated transaction at a time, maps their plain-language answer to a chart-of-accounts entry, and hands the result to finalizeChatAllocation. The chat UI (src/app/dashboard/ai-accountant/[clientId]/chat/page.tsx, 396 lines) is one of the only genuinely independent — not a redirect stub — pages in the dashboard portal tree.</w:t>
      </w:r>
    </w:p>
    <w:p>
      <w:pPr>
        <w:spacing w:after="140"/>
      </w:pPr>
      <w:r>
        <w:t xml:space="preserve">The AI flows are also defensively written: every one of the transaction-allocation flows returns a structured fallback object (empty account, 0 confidence, explanatory summary) inside a try/catch rather than throwing, so a Gemini timeout or malformed response degrades to "needs manual review" instead of crashing the page.</w:t>
      </w:r>
    </w:p>
    <w:p>
      <w:pPr>
        <w:pStyle w:val="Heading1"/>
        <w:spacing w:after="160" w:before="320"/>
      </w:pPr>
      <w:r>
        <w:t xml:space="preserve">3. Structural Issues</w:t>
      </w:r>
    </w:p>
    <w:p>
      <w:pPr>
        <w:pStyle w:val="Heading2"/>
        <w:spacing w:after="120" w:before="260"/>
      </w:pPr>
      <w:r>
        <w:t xml:space="preserve">The client/partner self-service path is broken</w:t>
      </w:r>
    </w:p>
    <w:p>
      <w:pPr>
        <w:spacing w:after="140"/>
      </w:pPr>
      <w:r>
        <w:t xml:space="preserve">src/app/admin/layout.tsx gates the entire /admin tree client-side to users with role admin, staff, cap_staff, or cap_supervisor — redirecting everyone else to /login. But every /dashboard/ai-accountant/[clientId]/... page (bank transactions, general journal, the main client dashboard) is a redirect() stub that forwards straight into the equivalent /admin/ai-accountant/[clientId]/... URL. And the partner-facing entry point, src/app/partner/ai-accountant/clients/page.tsx, links its "Manage Client" action to /dashboard/ai-accountant/${client.id}/dashboard.</w:t>
      </w:r>
    </w:p>
    <w:p>
      <w:pPr>
        <w:spacing w:after="140"/>
      </w:pPr>
      <w:r>
        <w:t xml:space="preserve">Chained together: a partner clicks "Manage Client" on their own client list → lands on the dashboard redirect stub → gets forwarded to /admin/... → the admin layout sees their role is partner, not admin/staff → bounces them to /login. Given the module bills partners directly (R140/month per additional company, R950/month to activate the add-on at all, enforced in the same clients page), this looks like an unfinished migration rather than an intentional staff-only design — worth confirming which it is, since right now the paid self-service promise doesn't function for a partner role.</w:t>
      </w:r>
    </w:p>
    <w:p>
      <w:pPr>
        <w:pStyle w:val="Heading2"/>
        <w:spacing w:after="120" w:before="260"/>
      </w:pPr>
      <w:r>
        <w:t xml:space="preserve">Financial-data server actions have no authorization check</w:t>
      </w:r>
    </w:p>
    <w:p>
      <w:pPr>
        <w:spacing w:after="140"/>
      </w:pPr>
      <w:r>
        <w:t xml:space="preserve">src/app/actions/ai-recon.ts exports the functions that actually move client money data: runAiAccountantAnalysis, prepareAiAccountantAnalysis, researchMerchantWithAi, moveTransactionToNew / bulkMoveTransactionsToNew, proposeRegroups / applyRegroups, matchTransactionsToSuppliers, matchTransactionsToHistory, finalizeChatAllocation, and the spreadsheet allocation actions. All of them call getAdminDb() — the Firebase Admin SDK, which bypasses Firestore security rules entirely — and take a clientId as a plain argument with no check that the calling user is the practice that owns, was shared, or has any relationship to that client.</w:t>
      </w:r>
    </w:p>
    <w:p>
      <w:pPr>
        <w:spacing w:after="140"/>
      </w:pPr>
      <w:r>
        <w:t xml:space="preserve">Checked across the whole actions/ directory: only 1 of 23 files (admin-users.ts) calls the getAuthContext helper that exists in src/lib/server-auth.ts for exactly this purpose. ai-recon.ts calls it zero times. Next.js Server Actions compile to callable POST endpoints, so in principle any authenticated session (the action reference itself is visible in the client bundle) could invoke these functions with a different practice's clientId and read or rewrite that client's bank transactions, allocations, or supplier matches. This mirrors the auth-inconsistency finding from the codebase-wide audit, but here it applies directly to the module handling the most sensitive financial data in the product.</w:t>
      </w:r>
    </w:p>
    <w:p>
      <w:pPr>
        <w:pStyle w:val="Heading2"/>
        <w:spacing w:after="120" w:before="260"/>
      </w:pPr>
      <w:r>
        <w:t xml:space="preserve">Smaller notes</w:t>
      </w:r>
    </w:p>
    <w:p>
      <w:pPr>
        <w:pStyle w:val="ListParagraph"/>
        <w:numPr>
          <w:ilvl w:val="0"/>
          <w:numId w:val="1"/>
        </w:numPr>
        <w:spacing w:after="80"/>
      </w:pPr>
      <w:r>
        <w:t xml:space="preserve">The three-way route duplication (admin/dashboard/partner/reseller) makes it easy for one portal to drift out of sync with another — the dashboard tree already has, since most of its pages no longer contain real UI at all.</w:t>
      </w:r>
    </w:p>
    <w:p>
      <w:pPr>
        <w:pStyle w:val="ListParagraph"/>
        <w:numPr>
          <w:ilvl w:val="0"/>
          <w:numId w:val="1"/>
        </w:numPr>
        <w:spacing w:after="80"/>
      </w:pPr>
      <w:r>
        <w:t xml:space="preserve">src/app/admin/ai-accountant/[clientId]/bank/transactions/page.tsx (4,531 lines) is the single largest file in the codebase and carries most of the reconciliation UI, AI trigger buttons, and batch-action logic in one component — a natural candidate for splitting once any functional changes are planned here, purely for review/testability.</w:t>
      </w:r>
    </w:p>
    <w:p>
      <w:pPr>
        <w:pStyle w:val="ListParagraph"/>
        <w:numPr>
          <w:ilvl w:val="0"/>
          <w:numId w:val="1"/>
        </w:numPr>
        <w:spacing w:after="80"/>
      </w:pPr>
      <w:r>
        <w:t xml:space="preserve">updateGlobalMerchantDb() in ai-recon.ts is a no-op stub (console.log("Global DB Update:", data) only) — it's called from the admin page as if it persists a shared merchant database, but currently does nothing.</w:t>
      </w:r>
    </w:p>
    <w:p>
      <w:pPr>
        <w:pStyle w:val="Heading1"/>
        <w:spacing w:after="160" w:before="320"/>
      </w:pPr>
      <w:r>
        <w:t xml:space="preserve">Summary</w:t>
      </w:r>
    </w:p>
    <w:p>
      <w:pPr>
        <w:spacing w:after="140"/>
      </w:pPr>
      <w:r>
        <w:t xml:space="preserve">The AI/allocation engineering here is a genuine strength — layered fallback logic, SA-specific text normalization, calibrated AI confidence, and defensive error handling are all done properly. The two issues worth prioritizing are architectural rather than algorithmic: decide whether partners are meant to self-serve this module (and if so, fix the redirect chain so their role clears the admin gate, or build the client-scoped views the route tree implies), and add an ownership check to the ai-recon.ts server actions before they're relied on more heavily, since they currently trust the caller-supplied clientId completely.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2026-08-11T14:21:30.674Z</dcterms:created>
  <dcterms:modified xsi:type="dcterms:W3CDTF">2026-08-11T14:21:30.674Z</dcterms:modified>
</cp:coreProperties>
</file>

<file path=docProps/custom.xml><?xml version="1.0" encoding="utf-8"?>
<Properties xmlns="http://schemas.openxmlformats.org/officeDocument/2006/custom-properties" xmlns:vt="http://schemas.openxmlformats.org/officeDocument/2006/docPropsVTypes"/>
</file>