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B6472"/>
          <w:sz w:val="18"/>
          <w:szCs w:val="18"/>
        </w:rPr>
        <w:t xml:space="preserve">MY ACCOUNTANT SA — TAX SHOP PLATFORM</w:t>
      </w:r>
    </w:p>
    <w:p>
      <w:pPr>
        <w:spacing w:after="100"/>
      </w:pPr>
      <w:r>
        <w:rPr>
          <w:rFonts w:ascii="Calibri" w:cs="Calibri" w:eastAsia="Calibri" w:hAnsi="Calibri"/>
          <w:b/>
          <w:bCs/>
          <w:color w:val="1F3864"/>
          <w:sz w:val="40"/>
          <w:szCs w:val="40"/>
        </w:rPr>
        <w:t xml:space="preserve">Order Management Module</w:t>
      </w:r>
    </w:p>
    <w:p>
      <w:pPr>
        <w:spacing w:after="400"/>
      </w:pPr>
      <w:r>
        <w:rPr>
          <w:rFonts w:ascii="Calibri" w:cs="Calibri" w:eastAsia="Calibri" w:hAnsi="Calibri"/>
          <w:i/>
          <w:iCs/>
          <w:color w:val="5B6472"/>
          <w:sz w:val="21"/>
          <w:szCs w:val="21"/>
        </w:rPr>
        <w:t xml:space="preserve">A technical walkthrough of how orders are created, paid for, fulfilled, and tracked across the client, admin/staff, and partner (reseller) surfaces.</w:t>
      </w:r>
    </w:p>
    <w:p>
      <w:pPr>
        <w:pStyle w:val="Heading1"/>
        <w:pBdr>
          <w:bottom w:val="single" w:color="214392" w:sz="6" w:space="4"/>
        </w:pBdr>
        <w:spacing w:after="160" w:before="360"/>
      </w:pPr>
      <w:r>
        <w:rPr>
          <w:rFonts w:ascii="Calibri" w:cs="Calibri" w:eastAsia="Calibri" w:hAnsi="Calibri"/>
          <w:b/>
          <w:bCs/>
          <w:color w:val="1F3864"/>
          <w:sz w:val="30"/>
          <w:szCs w:val="30"/>
        </w:rPr>
        <w:t xml:space="preserve">1. Overview</w:t>
      </w:r>
    </w:p>
    <w:p>
      <w:pPr>
        <w:spacing w:after="160" w:line="276"/>
      </w:pPr>
      <w:r>
        <w:rPr>
          <w:rFonts w:ascii="Calibri" w:cs="Calibri" w:eastAsia="Calibri" w:hAnsi="Calibri"/>
          <w:color w:val="333333"/>
          <w:sz w:val="21"/>
          <w:szCs w:val="21"/>
        </w:rPr>
        <w:t xml:space="preserve">The order management module is the operational core of the platform. An "Order" represents a client’s purchase of one or more accounting/tax services (company registration, tax returns, bookkeeping, payroll, etc.). Every order flows through a shared Firestore collection (orders) and a shared status lifecycle, but three different audiences interact with it through three different UIs:</w:t>
      </w:r>
    </w:p>
    <w:p>
      <w:pPr>
        <w:pStyle w:val="ListParagraph"/>
        <w:numPr>
          <w:ilvl w:val="0"/>
          <w:numId w:val="2"/>
        </w:numPr>
        <w:spacing w:after="90" w:line="270"/>
      </w:pPr>
      <w:r>
        <w:rPr>
          <w:rFonts w:ascii="Calibri" w:cs="Calibri" w:eastAsia="Calibri" w:hAnsi="Calibri"/>
          <w:color w:val="333333"/>
          <w:sz w:val="21"/>
          <w:szCs w:val="21"/>
        </w:rPr>
        <w:t xml:space="preserve">Clients — place orders through checkout, track them, upload documents, and pay outstanding invoices from their dashboard.</w:t>
      </w:r>
    </w:p>
    <w:p>
      <w:pPr>
        <w:pStyle w:val="ListParagraph"/>
        <w:numPr>
          <w:ilvl w:val="0"/>
          <w:numId w:val="2"/>
        </w:numPr>
        <w:spacing w:after="90" w:line="270"/>
      </w:pPr>
      <w:r>
        <w:rPr>
          <w:rFonts w:ascii="Calibri" w:cs="Calibri" w:eastAsia="Calibri" w:hAnsi="Calibri"/>
          <w:color w:val="333333"/>
          <w:sz w:val="21"/>
          <w:szCs w:val="21"/>
        </w:rPr>
        <w:t xml:space="preserve">Admin / Staff — manage every order from a central queue: assign staff, request and review documents, change status, message clients, and generate discounts.</w:t>
      </w:r>
    </w:p>
    <w:p>
      <w:pPr>
        <w:pStyle w:val="ListParagraph"/>
        <w:numPr>
          <w:ilvl w:val="0"/>
          <w:numId w:val="2"/>
        </w:numPr>
        <w:spacing w:after="90" w:line="270"/>
      </w:pPr>
      <w:r>
        <w:rPr>
          <w:rFonts w:ascii="Calibri" w:cs="Calibri" w:eastAsia="Calibri" w:hAnsi="Calibri"/>
          <w:color w:val="333333"/>
          <w:sz w:val="21"/>
          <w:szCs w:val="21"/>
        </w:rPr>
        <w:t xml:space="preserve">Partners / Resellers — white-labelled accounting practices who resell services under their own brand. They can fulfil orders themselves or "outsource" them back to My Accountant using a prepaid wallet.</w:t>
      </w:r>
    </w:p>
    <w:p>
      <w:pPr>
        <w:spacing w:after="160" w:line="276"/>
      </w:pPr>
      <w:r>
        <w:rPr>
          <w:rFonts w:ascii="Calibri" w:cs="Calibri" w:eastAsia="Calibri" w:hAnsi="Calibri"/>
          <w:color w:val="333333"/>
          <w:sz w:val="21"/>
          <w:szCs w:val="21"/>
        </w:rPr>
        <w:t xml:space="preserve">All order logic lives under src/app/actions (server actions using the Firebase Admin SDK), src/app/admin, src/app/dashboard, src/app/partner (Next.js App Router pages using the client SDK), plus a PayFast payment webhook and supporting email templates.</w:t>
      </w:r>
    </w:p>
    <w:p>
      <w:pPr>
        <w:pStyle w:val="Heading1"/>
        <w:pBdr>
          <w:bottom w:val="single" w:color="214392" w:sz="6" w:space="4"/>
        </w:pBdr>
        <w:spacing w:after="160" w:before="360"/>
      </w:pPr>
      <w:r>
        <w:rPr>
          <w:rFonts w:ascii="Calibri" w:cs="Calibri" w:eastAsia="Calibri" w:hAnsi="Calibri"/>
          <w:b/>
          <w:bCs/>
          <w:color w:val="1F3864"/>
          <w:sz w:val="30"/>
          <w:szCs w:val="30"/>
        </w:rPr>
        <w:t xml:space="preserve">2. Data Model</w:t>
      </w:r>
    </w:p>
    <w:p>
      <w:pPr>
        <w:spacing w:after="160" w:line="276"/>
      </w:pPr>
      <w:r>
        <w:rPr>
          <w:rFonts w:ascii="Calibri" w:cs="Calibri" w:eastAsia="Calibri" w:hAnsi="Calibri"/>
          <w:color w:val="333333"/>
          <w:sz w:val="21"/>
          <w:szCs w:val="21"/>
        </w:rPr>
        <w:t xml:space="preserve">Defined in src/lib/types.ts. The core Order type (line 149):</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Field</w:t>
            </w:r>
          </w:p>
        </w:tc>
        <w:tc>
          <w:tcPr>
            <w:tcW w:type="dxa" w:w="6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Purpose</w:t>
            </w:r>
          </w:p>
        </w:tc>
      </w:tr>
      <w:tr>
        <w:tc>
          <w:tcPr>
            <w:tcW w:type="dxa" w:w="3000"/>
            <w:tcMar>
              <w:top w:type="dxa" w:w="80"/>
              <w:left w:type="dxa" w:w="100"/>
              <w:bottom w:type="dxa" w:w="80"/>
              <w:right w:type="dxa" w:w="100"/>
            </w:tcMar>
          </w:tcPr>
          <w:p>
            <w:r>
              <w:rPr>
                <w:rFonts w:ascii="Calibri" w:cs="Calibri" w:eastAsia="Calibri" w:hAnsi="Calibri"/>
                <w:b w:val="false"/>
                <w:bCs w:val="false"/>
                <w:color w:val="333333"/>
                <w:sz w:val="19"/>
                <w:szCs w:val="19"/>
              </w:rPr>
              <w:t xml:space="preserve">id</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Human-readable sequential order number (see src/lib/sequence.ts), used as the Firestore doc ID.</w:t>
            </w:r>
          </w:p>
        </w:tc>
      </w:tr>
      <w:tr>
        <w:tc>
          <w:tcPr>
            <w:tcW w:type="dxa" w:w="30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userId / customerName / customerEmail / customerPhone</w:t>
            </w:r>
          </w:p>
        </w:tc>
        <w:tc>
          <w:tcPr>
            <w:tcW w:type="dxa" w:w="6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The purchasing account. userId is null for guest/EFT flows until an account is created.</w:t>
            </w:r>
          </w:p>
        </w:tc>
      </w:tr>
      <w:tr>
        <w:tc>
          <w:tcPr>
            <w:tcW w:type="dxa" w:w="3000"/>
            <w:tcMar>
              <w:top w:type="dxa" w:w="80"/>
              <w:left w:type="dxa" w:w="100"/>
              <w:bottom w:type="dxa" w:w="80"/>
              <w:right w:type="dxa" w:w="100"/>
            </w:tcMar>
          </w:tcPr>
          <w:p>
            <w:r>
              <w:rPr>
                <w:rFonts w:ascii="Calibri" w:cs="Calibri" w:eastAsia="Calibri" w:hAnsi="Calibri"/>
                <w:b w:val="false"/>
                <w:bCs w:val="false"/>
                <w:color w:val="333333"/>
                <w:sz w:val="19"/>
                <w:szCs w:val="19"/>
              </w:rPr>
              <w:t xml:space="preserve">resellerId</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Set when a partner is involved — either the partner placed the order for their own client, or the order was outsourced to a partner.</w:t>
            </w:r>
          </w:p>
        </w:tc>
      </w:tr>
      <w:tr>
        <w:tc>
          <w:tcPr>
            <w:tcW w:type="dxa" w:w="30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endCustomerName / endCustomerEmail</w:t>
            </w:r>
          </w:p>
        </w:tc>
        <w:tc>
          <w:tcPr>
            <w:tcW w:type="dxa" w:w="6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The reseller’s underlying client, when the order was placed via a white-labelled partner order.</w:t>
            </w:r>
          </w:p>
        </w:tc>
      </w:tr>
      <w:tr>
        <w:tc>
          <w:tcPr>
            <w:tcW w:type="dxa" w:w="3000"/>
            <w:tcMar>
              <w:top w:type="dxa" w:w="80"/>
              <w:left w:type="dxa" w:w="100"/>
              <w:bottom w:type="dxa" w:w="80"/>
              <w:right w:type="dxa" w:w="100"/>
            </w:tcMar>
          </w:tcPr>
          <w:p>
            <w:r>
              <w:rPr>
                <w:rFonts w:ascii="Calibri" w:cs="Calibri" w:eastAsia="Calibri" w:hAnsi="Calibri"/>
                <w:b w:val="false"/>
                <w:bCs w:val="false"/>
                <w:color w:val="333333"/>
                <w:sz w:val="19"/>
                <w:szCs w:val="19"/>
              </w:rPr>
              <w:t xml:space="preserve">items: OrderItem[]</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Line items — service id/title, quantity, unit price, and (for partner orders) discount and wholesale cost fields.</w:t>
            </w:r>
          </w:p>
        </w:tc>
      </w:tr>
      <w:tr>
        <w:tc>
          <w:tcPr>
            <w:tcW w:type="dxa" w:w="30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total / discountCode / discountAmount</w:t>
            </w:r>
          </w:p>
        </w:tc>
        <w:tc>
          <w:tcPr>
            <w:tcW w:type="dxa" w:w="6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Final payable amount after any discount code is applied.</w:t>
            </w:r>
          </w:p>
        </w:tc>
      </w:tr>
      <w:tr>
        <w:tc>
          <w:tcPr>
            <w:tcW w:type="dxa" w:w="3000"/>
            <w:tcMar>
              <w:top w:type="dxa" w:w="80"/>
              <w:left w:type="dxa" w:w="100"/>
              <w:bottom w:type="dxa" w:w="80"/>
              <w:right w:type="dxa" w:w="100"/>
            </w:tcMar>
          </w:tcPr>
          <w:p>
            <w:r>
              <w:rPr>
                <w:rFonts w:ascii="Calibri" w:cs="Calibri" w:eastAsia="Calibri" w:hAnsi="Calibri"/>
                <w:b w:val="false"/>
                <w:bCs w:val="false"/>
                <w:color w:val="333333"/>
                <w:sz w:val="19"/>
                <w:szCs w:val="19"/>
              </w:rPr>
              <w:t xml:space="preserve">status</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'Pending Payment' | 'Processing' | 'Completed' | 'Cancelled' — the single source of truth for order state.</w:t>
            </w:r>
          </w:p>
        </w:tc>
      </w:tr>
      <w:tr>
        <w:tc>
          <w:tcPr>
            <w:tcW w:type="dxa" w:w="30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isOutsourced / originalOrderId</w:t>
            </w:r>
          </w:p>
        </w:tc>
        <w:tc>
          <w:tcPr>
            <w:tcW w:type="dxa" w:w="6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Links a partner’s internal order to the shadow order created on the My Accountant side when work is outsourced.</w:t>
            </w:r>
          </w:p>
        </w:tc>
      </w:tr>
      <w:tr>
        <w:tc>
          <w:tcPr>
            <w:tcW w:type="dxa" w:w="3000"/>
            <w:tcMar>
              <w:top w:type="dxa" w:w="80"/>
              <w:left w:type="dxa" w:w="100"/>
              <w:bottom w:type="dxa" w:w="80"/>
              <w:right w:type="dxa" w:w="100"/>
            </w:tcMar>
          </w:tcPr>
          <w:p>
            <w:r>
              <w:rPr>
                <w:rFonts w:ascii="Calibri" w:cs="Calibri" w:eastAsia="Calibri" w:hAnsi="Calibri"/>
                <w:b w:val="false"/>
                <w:bCs w:val="false"/>
                <w:color w:val="333333"/>
                <w:sz w:val="19"/>
                <w:szCs w:val="19"/>
              </w:rPr>
              <w:t xml:space="preserve">assignedTo / department</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Staff member(s) and department (Accounting and Tax / Administration / CAP) responsible for fulfilment.</w:t>
            </w:r>
          </w:p>
        </w:tc>
      </w:tr>
      <w:tr>
        <w:tc>
          <w:tcPr>
            <w:tcW w:type="dxa" w:w="30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notes: OrderNote[]</w:t>
            </w:r>
          </w:p>
        </w:tc>
        <w:tc>
          <w:tcPr>
            <w:tcW w:type="dxa" w:w="6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Threaded communication log — client-visible or isInternal (staff-only), plus file attachments.</w:t>
            </w:r>
          </w:p>
        </w:tc>
      </w:tr>
      <w:tr>
        <w:tc>
          <w:tcPr>
            <w:tcW w:type="dxa" w:w="3000"/>
            <w:tcMar>
              <w:top w:type="dxa" w:w="80"/>
              <w:left w:type="dxa" w:w="100"/>
              <w:bottom w:type="dxa" w:w="80"/>
              <w:right w:type="dxa" w:w="100"/>
            </w:tcMar>
          </w:tcPr>
          <w:p>
            <w:r>
              <w:rPr>
                <w:rFonts w:ascii="Calibri" w:cs="Calibri" w:eastAsia="Calibri" w:hAnsi="Calibri"/>
                <w:b w:val="false"/>
                <w:bCs w:val="false"/>
                <w:color w:val="333333"/>
                <w:sz w:val="19"/>
                <w:szCs w:val="19"/>
              </w:rPr>
              <w:t xml:space="preserve">documentUploads: DocumentUpload[]</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Requested/uploaded supporting documents, each with its own pending/approved/rejected status.</w:t>
            </w:r>
          </w:p>
        </w:tc>
      </w:tr>
      <w:tr>
        <w:tc>
          <w:tcPr>
            <w:tcW w:type="dxa" w:w="30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auditLog: AuditEntry[]</w:t>
            </w:r>
          </w:p>
        </w:tc>
        <w:tc>
          <w:tcPr>
            <w:tcW w:type="dxa" w:w="6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Immutable trail of status changes, staff reassignment, and dependency linking, each with performer, timestamp and before/after values.</w:t>
            </w:r>
          </w:p>
        </w:tc>
      </w:tr>
      <w:tr>
        <w:tc>
          <w:tcPr>
            <w:tcW w:type="dxa" w:w="3000"/>
            <w:tcMar>
              <w:top w:type="dxa" w:w="80"/>
              <w:left w:type="dxa" w:w="100"/>
              <w:bottom w:type="dxa" w:w="80"/>
              <w:right w:type="dxa" w:w="100"/>
            </w:tcMar>
          </w:tcPr>
          <w:p>
            <w:r>
              <w:rPr>
                <w:rFonts w:ascii="Calibri" w:cs="Calibri" w:eastAsia="Calibri" w:hAnsi="Calibri"/>
                <w:b w:val="false"/>
                <w:bCs w:val="false"/>
                <w:color w:val="333333"/>
                <w:sz w:val="19"/>
                <w:szCs w:val="19"/>
              </w:rPr>
              <w:t xml:space="preserve">dependsOnOrderIds / blockedOrderIds</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Prerequisite-order graph — lets staff enforce that Order B cannot complete until Order A does.</w:t>
            </w:r>
          </w:p>
        </w:tc>
      </w:tr>
      <w:tr>
        <w:tc>
          <w:tcPr>
            <w:tcW w:type="dxa" w:w="30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overflowStatus / overflowPartnerId / overflowPayout</w:t>
            </w:r>
          </w:p>
        </w:tc>
        <w:tc>
          <w:tcPr>
            <w:tcW w:type="dxa" w:w="6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Support for routing surplus admin work out to partner practices for a payout (separate "overflow" marketplace).</w:t>
            </w:r>
          </w:p>
        </w:tc>
      </w:tr>
    </w:tbl>
    <w:p>
      <w:pPr>
        <w:pStyle w:val="Heading1"/>
        <w:pBdr>
          <w:bottom w:val="single" w:color="214392" w:sz="6" w:space="4"/>
        </w:pBdr>
        <w:spacing w:after="160" w:before="360"/>
      </w:pPr>
      <w:r>
        <w:rPr>
          <w:rFonts w:ascii="Calibri" w:cs="Calibri" w:eastAsia="Calibri" w:hAnsi="Calibri"/>
          <w:b/>
          <w:bCs/>
          <w:color w:val="1F3864"/>
          <w:sz w:val="30"/>
          <w:szCs w:val="30"/>
        </w:rPr>
        <w:t xml:space="preserve">3. Order Lifecycle</w:t>
      </w:r>
    </w:p>
    <w:p>
      <w:pPr>
        <w:spacing w:after="160" w:line="276"/>
      </w:pPr>
      <w:r>
        <w:rPr>
          <w:rFonts w:ascii="Calibri" w:cs="Calibri" w:eastAsia="Calibri" w:hAnsi="Calibri"/>
          <w:color w:val="333333"/>
          <w:sz w:val="21"/>
          <w:szCs w:val="21"/>
        </w:rPr>
        <w:t xml:space="preserve">Every order moves through the same four statuses, though who triggers each transition differs by channel: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Status</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Meaning</w:t>
            </w:r>
          </w:p>
        </w:tc>
        <w:tc>
          <w:tcPr>
            <w:tcW w:type="dxa" w:w="38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Typical trigger</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Pending Payment</w:t>
            </w:r>
          </w:p>
        </w:tc>
        <w:tc>
          <w:tcPr>
            <w:tcW w:type="dxa" w:w="3600"/>
            <w:tcMar>
              <w:top w:type="dxa" w:w="80"/>
              <w:left w:type="dxa" w:w="100"/>
              <w:bottom w:type="dxa" w:w="80"/>
              <w:right w:type="dxa" w:w="100"/>
            </w:tcMar>
          </w:tcPr>
          <w:p>
            <w:r>
              <w:rPr>
                <w:rFonts w:ascii="Calibri" w:cs="Calibri" w:eastAsia="Calibri" w:hAnsi="Calibri"/>
                <w:b w:val="false"/>
                <w:bCs w:val="false"/>
                <w:color w:val="333333"/>
                <w:sz w:val="19"/>
                <w:szCs w:val="19"/>
              </w:rPr>
              <w:t xml:space="preserve">Order created, awaiting payment confirmation.</w:t>
            </w:r>
          </w:p>
        </w:tc>
        <w:tc>
          <w:tcPr>
            <w:tcW w:type="dxa" w:w="3800"/>
            <w:tcMar>
              <w:top w:type="dxa" w:w="80"/>
              <w:left w:type="dxa" w:w="100"/>
              <w:bottom w:type="dxa" w:w="80"/>
              <w:right w:type="dxa" w:w="100"/>
            </w:tcMar>
          </w:tcPr>
          <w:p>
            <w:r>
              <w:rPr>
                <w:rFonts w:ascii="Calibri" w:cs="Calibri" w:eastAsia="Calibri" w:hAnsi="Calibri"/>
                <w:b w:val="false"/>
                <w:bCs w:val="false"/>
                <w:color w:val="333333"/>
                <w:sz w:val="19"/>
                <w:szCs w:val="19"/>
              </w:rPr>
              <w:t xml:space="preserve">Checkout completes; PayFast/EFT payment not yet confirmed.</w:t>
            </w:r>
          </w:p>
        </w:tc>
      </w:tr>
      <w:tr>
        <w:tc>
          <w:tcPr>
            <w:tcW w:type="dxa" w:w="22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Processing</w:t>
            </w:r>
          </w:p>
        </w:tc>
        <w:tc>
          <w:tcPr>
            <w:tcW w:type="dxa" w:w="3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Payment confirmed, work has begun / is queued.</w:t>
            </w:r>
          </w:p>
        </w:tc>
        <w:tc>
          <w:tcPr>
            <w:tcW w:type="dxa" w:w="38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PayFast ITN webhook, manual reconciliation, or an admin/partner manually advances the order.</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Completed</w:t>
            </w:r>
          </w:p>
        </w:tc>
        <w:tc>
          <w:tcPr>
            <w:tcW w:type="dxa" w:w="3600"/>
            <w:tcMar>
              <w:top w:type="dxa" w:w="80"/>
              <w:left w:type="dxa" w:w="100"/>
              <w:bottom w:type="dxa" w:w="80"/>
              <w:right w:type="dxa" w:w="100"/>
            </w:tcMar>
          </w:tcPr>
          <w:p>
            <w:r>
              <w:rPr>
                <w:rFonts w:ascii="Calibri" w:cs="Calibri" w:eastAsia="Calibri" w:hAnsi="Calibri"/>
                <w:b w:val="false"/>
                <w:bCs w:val="false"/>
                <w:color w:val="333333"/>
                <w:sz w:val="19"/>
                <w:szCs w:val="19"/>
              </w:rPr>
              <w:t xml:space="preserve">Deliverables are done.</w:t>
            </w:r>
          </w:p>
        </w:tc>
        <w:tc>
          <w:tcPr>
            <w:tcW w:type="dxa" w:w="3800"/>
            <w:tcMar>
              <w:top w:type="dxa" w:w="80"/>
              <w:left w:type="dxa" w:w="100"/>
              <w:bottom w:type="dxa" w:w="80"/>
              <w:right w:type="dxa" w:w="100"/>
            </w:tcMar>
          </w:tcPr>
          <w:p>
            <w:r>
              <w:rPr>
                <w:rFonts w:ascii="Calibri" w:cs="Calibri" w:eastAsia="Calibri" w:hAnsi="Calibri"/>
                <w:b w:val="false"/>
                <w:bCs w:val="false"/>
                <w:color w:val="333333"/>
                <w:sz w:val="19"/>
                <w:szCs w:val="19"/>
              </w:rPr>
              <w:t xml:space="preserve">Admin marks Completed once documents are approved and work is finished; triggers a review-request email.</w:t>
            </w:r>
          </w:p>
        </w:tc>
      </w:tr>
      <w:tr>
        <w:tc>
          <w:tcPr>
            <w:tcW w:type="dxa" w:w="22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Cancelled</w:t>
            </w:r>
          </w:p>
        </w:tc>
        <w:tc>
          <w:tcPr>
            <w:tcW w:type="dxa" w:w="3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Order abandoned or refunded.</w:t>
            </w:r>
          </w:p>
        </w:tc>
        <w:tc>
          <w:tcPr>
            <w:tcW w:type="dxa" w:w="38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Admin/staff action.</w:t>
            </w:r>
          </w:p>
        </w:tc>
      </w:tr>
    </w:tbl>
    <w:p>
      <w:pPr>
        <w:spacing w:after="80"/>
      </w:pPr>
    </w:p>
    <w:p>
      <w:pPr>
        <w:spacing w:after="160" w:line="276"/>
      </w:pPr>
      <w:r>
        <w:rPr>
          <w:rFonts w:ascii="Calibri" w:cs="Calibri" w:eastAsia="Calibri" w:hAnsi="Calibri"/>
          <w:color w:val="333333"/>
          <w:sz w:val="21"/>
          <w:szCs w:val="21"/>
        </w:rPr>
        <w:t xml:space="preserve">Status changes made by admin/staff go through updateOrderStatusAtomic() (src/app/actions/order-admin-actions.ts), which in one Firestore batch: updates the order, appends an AuditEntry, mirrors the change onto the linked originalOrderId if the order was outsourced, and then fires sendOrderStatusUpdateEmailAction() to notify the client (and CCs the partner where relevant). Moving an order to Completed automatically triggers a review-request email; moving to Processing with no prerequisite work outstanding triggers a document-request email.</w:t>
      </w:r>
    </w:p>
    <w:p>
      <w:pPr>
        <w:spacing w:after="160" w:line="276"/>
      </w:pPr>
      <w:r>
        <w:rPr>
          <w:rFonts w:ascii="Calibri" w:cs="Calibri" w:eastAsia="Calibri" w:hAnsi="Calibri"/>
          <w:color w:val="333333"/>
          <w:sz w:val="21"/>
          <w:szCs w:val="21"/>
        </w:rPr>
        <w:t xml:space="preserve">Before allowing a Completed transition, the UI checks dependsOnOrderIds for any unfinished prerequisite orders and warns the admin, requiring an explicit override (logged in the audit trail as an override).</w:t>
      </w:r>
    </w:p>
    <w:p>
      <w:pPr>
        <w:pStyle w:val="Heading1"/>
        <w:pBdr>
          <w:bottom w:val="single" w:color="214392" w:sz="6" w:space="4"/>
        </w:pBdr>
        <w:spacing w:after="160" w:before="360"/>
      </w:pPr>
      <w:r>
        <w:rPr>
          <w:rFonts w:ascii="Calibri" w:cs="Calibri" w:eastAsia="Calibri" w:hAnsi="Calibri"/>
          <w:b/>
          <w:bCs/>
          <w:color w:val="1F3864"/>
          <w:sz w:val="30"/>
          <w:szCs w:val="30"/>
        </w:rPr>
        <w:t xml:space="preserve">4. How Orders Are Created</w:t>
      </w:r>
    </w:p>
    <w:p>
      <w:pPr>
        <w:pStyle w:val="Heading2"/>
        <w:spacing w:after="120" w:before="280"/>
      </w:pPr>
      <w:r>
        <w:rPr>
          <w:rFonts w:ascii="Calibri" w:cs="Calibri" w:eastAsia="Calibri" w:hAnsi="Calibri"/>
          <w:b/>
          <w:bCs/>
          <w:color w:val="214392"/>
          <w:sz w:val="24"/>
          <w:szCs w:val="24"/>
        </w:rPr>
        <w:t xml:space="preserve">4.1 Client Checkout (createCheckoutOrderAction)</w:t>
      </w:r>
    </w:p>
    <w:p>
      <w:pPr>
        <w:spacing w:after="160" w:line="276"/>
      </w:pPr>
      <w:r>
        <w:rPr>
          <w:rFonts w:ascii="Calibri" w:cs="Calibri" w:eastAsia="Calibri" w:hAnsi="Calibri"/>
          <w:color w:val="333333"/>
          <w:sz w:val="21"/>
          <w:szCs w:val="21"/>
        </w:rPr>
        <w:t xml:space="preserve">src/app/actions/checkout-core.ts is the canonical order-creation path used by src/components/checkout/*.tsx. It:</w:t>
      </w:r>
    </w:p>
    <w:p>
      <w:pPr>
        <w:pStyle w:val="ListParagraph"/>
        <w:numPr>
          <w:ilvl w:val="0"/>
          <w:numId w:val="2"/>
        </w:numPr>
        <w:spacing w:after="90" w:line="270"/>
      </w:pPr>
      <w:r>
        <w:rPr>
          <w:rFonts w:ascii="Calibri" w:cs="Calibri" w:eastAsia="Calibri" w:hAnsi="Calibri"/>
          <w:color w:val="333333"/>
          <w:sz w:val="21"/>
          <w:szCs w:val="21"/>
        </w:rPr>
        <w:t xml:space="preserve">Rate-limits checkout attempts (5/minute per IP).</w:t>
      </w:r>
    </w:p>
    <w:p>
      <w:pPr>
        <w:pStyle w:val="ListParagraph"/>
        <w:numPr>
          <w:ilvl w:val="0"/>
          <w:numId w:val="2"/>
        </w:numPr>
        <w:spacing w:after="90" w:line="270"/>
      </w:pPr>
      <w:r>
        <w:rPr>
          <w:rFonts w:ascii="Calibri" w:cs="Calibri" w:eastAsia="Calibri" w:hAnsi="Calibri"/>
          <w:color w:val="333333"/>
          <w:sz w:val="21"/>
          <w:szCs w:val="21"/>
        </w:rPr>
        <w:t xml:space="preserve">Creates a Firebase Auth user + Firestore user profile on first purchase (auto-generated password, emailed via the welcome/order-confirmation email).</w:t>
      </w:r>
    </w:p>
    <w:p>
      <w:pPr>
        <w:pStyle w:val="ListParagraph"/>
        <w:numPr>
          <w:ilvl w:val="0"/>
          <w:numId w:val="2"/>
        </w:numPr>
        <w:spacing w:after="90" w:line="270"/>
      </w:pPr>
      <w:r>
        <w:rPr>
          <w:rFonts w:ascii="Calibri" w:cs="Calibri" w:eastAsia="Calibri" w:hAnsi="Calibri"/>
          <w:color w:val="333333"/>
          <w:sz w:val="21"/>
          <w:szCs w:val="21"/>
        </w:rPr>
        <w:t xml:space="preserve">Re-prices every line item server-side from the services collection — never trusts client-submitted prices — applying partner-specific serviceOverrides pricing and a legitimate 20% prerequisite-bundle discount where applicable.</w:t>
      </w:r>
    </w:p>
    <w:p>
      <w:pPr>
        <w:pStyle w:val="ListParagraph"/>
        <w:numPr>
          <w:ilvl w:val="0"/>
          <w:numId w:val="2"/>
        </w:numPr>
        <w:spacing w:after="90" w:line="270"/>
      </w:pPr>
      <w:r>
        <w:rPr>
          <w:rFonts w:ascii="Calibri" w:cs="Calibri" w:eastAsia="Calibri" w:hAnsi="Calibri"/>
          <w:color w:val="333333"/>
          <w:sz w:val="21"/>
          <w:szCs w:val="21"/>
        </w:rPr>
        <w:t xml:space="preserve">Validates any discount code server-side and recalculates the total.</w:t>
      </w:r>
    </w:p>
    <w:p>
      <w:pPr>
        <w:pStyle w:val="ListParagraph"/>
        <w:numPr>
          <w:ilvl w:val="0"/>
          <w:numId w:val="2"/>
        </w:numPr>
        <w:spacing w:after="90" w:line="270"/>
      </w:pPr>
      <w:r>
        <w:rPr>
          <w:rFonts w:ascii="Calibri" w:cs="Calibri" w:eastAsia="Calibri" w:hAnsi="Calibri"/>
          <w:color w:val="333333"/>
          <w:sz w:val="21"/>
          <w:szCs w:val="21"/>
        </w:rPr>
        <w:t xml:space="preserve">Allocates the next sequential order ID (src/lib/sequence.ts), writes the order with status Pending Payment, and (non-blocking) renders and sends the order-confirmation email.</w:t>
      </w:r>
    </w:p>
    <w:p>
      <w:pPr>
        <w:pStyle w:val="Heading2"/>
        <w:spacing w:after="120" w:before="280"/>
      </w:pPr>
      <w:r>
        <w:rPr>
          <w:rFonts w:ascii="Calibri" w:cs="Calibri" w:eastAsia="Calibri" w:hAnsi="Calibri"/>
          <w:b/>
          <w:bCs/>
          <w:color w:val="214392"/>
          <w:sz w:val="24"/>
          <w:szCs w:val="24"/>
        </w:rPr>
        <w:t xml:space="preserve">4.2 Admin Manual Order (CreateOrderForm.tsx)</w:t>
      </w:r>
    </w:p>
    <w:p>
      <w:pPr>
        <w:spacing w:after="160" w:line="276"/>
      </w:pPr>
      <w:r>
        <w:rPr>
          <w:rFonts w:ascii="Calibri" w:cs="Calibri" w:eastAsia="Calibri" w:hAnsi="Calibri"/>
          <w:color w:val="333333"/>
          <w:sz w:val="21"/>
          <w:szCs w:val="21"/>
        </w:rPr>
        <w:t xml:space="preserve">src/components/admin/CreateOrderForm.tsx lets staff build a custom order for a client (e.g. phone/EFT sales), selecting services, auto-detecting the responsible department from the first service, and creating the order directly.</w:t>
      </w:r>
    </w:p>
    <w:p>
      <w:pPr>
        <w:pStyle w:val="Heading2"/>
        <w:spacing w:after="120" w:before="280"/>
      </w:pPr>
      <w:r>
        <w:rPr>
          <w:rFonts w:ascii="Calibri" w:cs="Calibri" w:eastAsia="Calibri" w:hAnsi="Calibri"/>
          <w:b/>
          <w:bCs/>
          <w:color w:val="214392"/>
          <w:sz w:val="24"/>
          <w:szCs w:val="24"/>
        </w:rPr>
        <w:t xml:space="preserve">4.3 Partner Manual Order (CreatePartnerOrderForm.tsx)</w:t>
      </w:r>
    </w:p>
    <w:p>
      <w:pPr>
        <w:spacing w:after="160" w:line="276"/>
      </w:pPr>
      <w:r>
        <w:rPr>
          <w:rFonts w:ascii="Calibri" w:cs="Calibri" w:eastAsia="Calibri" w:hAnsi="Calibri"/>
          <w:color w:val="333333"/>
          <w:sz w:val="21"/>
          <w:szCs w:val="21"/>
        </w:rPr>
        <w:t xml:space="preserve">src/components/partner/CreatePartnerOrderForm.tsx lets a partner build an order for their own client with per-line-item pricing and discounts, constrained by Zod validation so the selling price can never fall below the partner’s wholesale cost (resellerPrice). A parallel admin form, CreateResellerOrderForm.tsx, lets admin staff create an order on behalf of a reseller.</w:t>
      </w:r>
    </w:p>
    <w:p>
      <w:pPr>
        <w:pStyle w:val="Heading1"/>
        <w:pBdr>
          <w:bottom w:val="single" w:color="214392" w:sz="6" w:space="4"/>
        </w:pBdr>
        <w:spacing w:after="160" w:before="360"/>
      </w:pPr>
      <w:r>
        <w:rPr>
          <w:rFonts w:ascii="Calibri" w:cs="Calibri" w:eastAsia="Calibri" w:hAnsi="Calibri"/>
          <w:b/>
          <w:bCs/>
          <w:color w:val="1F3864"/>
          <w:sz w:val="30"/>
          <w:szCs w:val="30"/>
        </w:rPr>
        <w:t xml:space="preserve">5. Payment &amp; Reconciliation</w:t>
      </w:r>
    </w:p>
    <w:p>
      <w:pPr>
        <w:spacing w:after="160" w:line="276"/>
      </w:pPr>
      <w:r>
        <w:rPr>
          <w:rFonts w:ascii="Calibri" w:cs="Calibri" w:eastAsia="Calibri" w:hAnsi="Calibri"/>
          <w:color w:val="333333"/>
          <w:sz w:val="21"/>
          <w:szCs w:val="21"/>
        </w:rPr>
        <w:t xml:space="preserve">Two payment methods are supported per order: PayFast (online card/EFT gateway) or EFT (manual bank transfer, typically for partners with banking details on file).</w:t>
      </w:r>
    </w:p>
    <w:p>
      <w:pPr>
        <w:spacing w:after="80" w:before="200"/>
      </w:pPr>
      <w:r>
        <w:rPr>
          <w:rFonts w:ascii="Calibri" w:cs="Calibri" w:eastAsia="Calibri" w:hAnsi="Calibri"/>
          <w:b/>
          <w:bCs/>
          <w:color w:val="1F3864"/>
          <w:sz w:val="21"/>
          <w:szCs w:val="21"/>
        </w:rPr>
        <w:t xml:space="preserve">PayFast ITN Webhook</w:t>
      </w:r>
    </w:p>
    <w:p>
      <w:pPr>
        <w:spacing w:after="160" w:line="276"/>
      </w:pPr>
      <w:r>
        <w:rPr>
          <w:rFonts w:ascii="Calibri" w:cs="Calibri" w:eastAsia="Calibri" w:hAnsi="Calibri"/>
          <w:color w:val="333333"/>
          <w:sz w:val="21"/>
          <w:szCs w:val="21"/>
        </w:rPr>
        <w:t xml:space="preserve">src/app/api/payfast/notify/route.ts (~35KB) is a single multi-purpose Instant Transaction Notification handler. It validates PayFast’s signature, matches the payment to an order via m_payment_id === orderId, confirms the paid amount matches the order total, then:</w:t>
      </w:r>
    </w:p>
    <w:p>
      <w:pPr>
        <w:pStyle w:val="ListParagraph"/>
        <w:numPr>
          <w:ilvl w:val="0"/>
          <w:numId w:val="2"/>
        </w:numPr>
        <w:spacing w:after="90" w:line="270"/>
      </w:pPr>
      <w:r>
        <w:rPr>
          <w:rFonts w:ascii="Calibri" w:cs="Calibri" w:eastAsia="Calibri" w:hAnsi="Calibri"/>
          <w:color w:val="333333"/>
          <w:sz w:val="21"/>
          <w:szCs w:val="21"/>
        </w:rPr>
        <w:t xml:space="preserve">Advances the order to Processing and appends an entry to itnHistory.</w:t>
      </w:r>
    </w:p>
    <w:p>
      <w:pPr>
        <w:pStyle w:val="ListParagraph"/>
        <w:numPr>
          <w:ilvl w:val="0"/>
          <w:numId w:val="2"/>
        </w:numPr>
        <w:spacing w:after="90" w:line="270"/>
      </w:pPr>
      <w:r>
        <w:rPr>
          <w:rFonts w:ascii="Calibri" w:cs="Calibri" w:eastAsia="Calibri" w:hAnsi="Calibri"/>
          <w:color w:val="333333"/>
          <w:sz w:val="21"/>
          <w:szCs w:val="21"/>
        </w:rPr>
        <w:t xml:space="preserve">Marks any applied discount code as used.</w:t>
      </w:r>
    </w:p>
    <w:p>
      <w:pPr>
        <w:pStyle w:val="ListParagraph"/>
        <w:numPr>
          <w:ilvl w:val="0"/>
          <w:numId w:val="2"/>
        </w:numPr>
        <w:spacing w:after="90" w:line="270"/>
      </w:pPr>
      <w:r>
        <w:rPr>
          <w:rFonts w:ascii="Calibri" w:cs="Calibri" w:eastAsia="Calibri" w:hAnsi="Calibri"/>
          <w:color w:val="333333"/>
          <w:sz w:val="21"/>
          <w:szCs w:val="21"/>
        </w:rPr>
        <w:t xml:space="preserve">Auto-creates a fulfilment task and round-robins staff assignment by department.</w:t>
      </w:r>
    </w:p>
    <w:p>
      <w:pPr>
        <w:pStyle w:val="ListParagraph"/>
        <w:numPr>
          <w:ilvl w:val="0"/>
          <w:numId w:val="2"/>
        </w:numPr>
        <w:spacing w:after="90" w:line="270"/>
      </w:pPr>
      <w:r>
        <w:rPr>
          <w:rFonts w:ascii="Calibri" w:cs="Calibri" w:eastAsia="Calibri" w:hAnsi="Calibri"/>
          <w:color w:val="333333"/>
          <w:sz w:val="21"/>
          <w:szCs w:val="21"/>
        </w:rPr>
        <w:t xml:space="preserve">Also handles unrelated payment types through the same endpoint: partner platform-fee subscription activation and partner wallet top-ups (keyed by partnerId instead of orderId).</w:t>
      </w:r>
    </w:p>
    <w:p>
      <w:pPr>
        <w:spacing w:after="80" w:before="200"/>
      </w:pPr>
      <w:r>
        <w:rPr>
          <w:rFonts w:ascii="Calibri" w:cs="Calibri" w:eastAsia="Calibri" w:hAnsi="Calibri"/>
          <w:b/>
          <w:bCs/>
          <w:color w:val="1F3864"/>
          <w:sz w:val="21"/>
          <w:szCs w:val="21"/>
        </w:rPr>
        <w:t xml:space="preserve">Manual Reconciliation</w:t>
      </w:r>
    </w:p>
    <w:p>
      <w:pPr>
        <w:shd w:fill="F4F4F4" w:val="clear"/>
        <w:spacing w:after="140"/>
      </w:pPr>
      <w:r>
        <w:rPr>
          <w:rFonts w:ascii="Consolas" w:cs="Consolas" w:eastAsia="Consolas" w:hAnsi="Consolas"/>
          <w:color w:val="9B2C2C"/>
          <w:sz w:val="19"/>
          <w:szCs w:val="19"/>
        </w:rPr>
        <w:t xml:space="preserve">POST /api/admin/reconcile-orders  (see "Reconcile Payments" button on /admin/orders)</w:t>
      </w:r>
    </w:p>
    <w:p>
      <w:pPr>
        <w:spacing w:after="160" w:line="276"/>
      </w:pPr>
      <w:r>
        <w:rPr>
          <w:rFonts w:ascii="Calibri" w:cs="Calibri" w:eastAsia="Calibri" w:hAnsi="Calibri"/>
          <w:color w:val="333333"/>
          <w:sz w:val="21"/>
          <w:szCs w:val="21"/>
        </w:rPr>
        <w:t xml:space="preserve">Queries the PayFast Transactions API directly for the last N days and cross-checks every order still in Pending Payment against a completed PayFast transaction — a safety net for missed/delayed ITN webhooks. Matches are moved to Processing with an audit note referencing the PayFast payment ID.</w:t>
      </w:r>
    </w:p>
    <w:p>
      <w:pPr>
        <w:pStyle w:val="Heading1"/>
        <w:pBdr>
          <w:bottom w:val="single" w:color="214392" w:sz="6" w:space="4"/>
        </w:pBdr>
        <w:spacing w:after="160" w:before="360"/>
      </w:pPr>
      <w:r>
        <w:rPr>
          <w:rFonts w:ascii="Calibri" w:cs="Calibri" w:eastAsia="Calibri" w:hAnsi="Calibri"/>
          <w:b/>
          <w:bCs/>
          <w:color w:val="1F3864"/>
          <w:sz w:val="30"/>
          <w:szCs w:val="30"/>
        </w:rPr>
        <w:t xml:space="preserve">6. Admin Order Management</w:t>
      </w:r>
    </w:p>
    <w:p>
      <w:pPr>
        <w:spacing w:after="160" w:line="276"/>
      </w:pPr>
      <w:r>
        <w:rPr>
          <w:rFonts w:ascii="Calibri" w:cs="Calibri" w:eastAsia="Calibri" w:hAnsi="Calibri"/>
          <w:color w:val="333333"/>
          <w:sz w:val="21"/>
          <w:szCs w:val="21"/>
        </w:rPr>
        <w:t xml:space="preserve">src/app/admin/orders/page.tsx (queue) and src/app/admin/orders/[id]/page.tsx (~100KB detail view) are where staff do most of the day-to-day work.</w:t>
      </w:r>
    </w:p>
    <w:p>
      <w:pPr>
        <w:spacing w:after="80" w:before="200"/>
      </w:pPr>
      <w:r>
        <w:rPr>
          <w:rFonts w:ascii="Calibri" w:cs="Calibri" w:eastAsia="Calibri" w:hAnsi="Calibri"/>
          <w:b/>
          <w:bCs/>
          <w:color w:val="1F3864"/>
          <w:sz w:val="21"/>
          <w:szCs w:val="21"/>
        </w:rPr>
        <w:t xml:space="preserve">Order Queue (list view)</w:t>
      </w:r>
    </w:p>
    <w:p>
      <w:pPr>
        <w:pStyle w:val="ListParagraph"/>
        <w:numPr>
          <w:ilvl w:val="0"/>
          <w:numId w:val="2"/>
        </w:numPr>
        <w:spacing w:after="90" w:line="270"/>
      </w:pPr>
      <w:r>
        <w:rPr>
          <w:rFonts w:ascii="Calibri" w:cs="Calibri" w:eastAsia="Calibri" w:hAnsi="Calibri"/>
          <w:color w:val="333333"/>
          <w:sz w:val="21"/>
          <w:szCs w:val="21"/>
        </w:rPr>
        <w:t xml:space="preserve">Realtime (onSnapshot) list of all orders, filterable by status, assigned staff ("mine" / "unassigned" / specific staff), and free-text search.</w:t>
      </w:r>
    </w:p>
    <w:p>
      <w:pPr>
        <w:pStyle w:val="ListParagraph"/>
        <w:numPr>
          <w:ilvl w:val="0"/>
          <w:numId w:val="2"/>
        </w:numPr>
        <w:spacing w:after="90" w:line="270"/>
      </w:pPr>
      <w:r>
        <w:rPr>
          <w:rFonts w:ascii="Calibri" w:cs="Calibri" w:eastAsia="Calibri" w:hAnsi="Calibri"/>
          <w:color w:val="333333"/>
          <w:sz w:val="21"/>
          <w:szCs w:val="21"/>
        </w:rPr>
        <w:t xml:space="preserve">Visibility rule: hides an order if it belongs solely to a partner’s own internal book of business (resellerId set, not outsourced) — admin only sees direct client orders, outsourced work, and partner platform purchases.</w:t>
      </w:r>
    </w:p>
    <w:p>
      <w:pPr>
        <w:pStyle w:val="ListParagraph"/>
        <w:numPr>
          <w:ilvl w:val="0"/>
          <w:numId w:val="2"/>
        </w:numPr>
        <w:spacing w:after="90" w:line="270"/>
      </w:pPr>
      <w:r>
        <w:rPr>
          <w:rFonts w:ascii="Calibri" w:cs="Calibri" w:eastAsia="Calibri" w:hAnsi="Calibri"/>
          <w:color w:val="333333"/>
          <w:sz w:val="21"/>
          <w:szCs w:val="21"/>
        </w:rPr>
        <w:t xml:space="preserve">Inline status changes, staff (re)assignment, and a "Reconcile Payments" action.</w:t>
      </w:r>
    </w:p>
    <w:p>
      <w:pPr>
        <w:spacing w:after="80" w:before="200"/>
      </w:pPr>
      <w:r>
        <w:rPr>
          <w:rFonts w:ascii="Calibri" w:cs="Calibri" w:eastAsia="Calibri" w:hAnsi="Calibri"/>
          <w:b/>
          <w:bCs/>
          <w:color w:val="1F3864"/>
          <w:sz w:val="21"/>
          <w:szCs w:val="21"/>
        </w:rPr>
        <w:t xml:space="preserve">Order Detail (single order)</w:t>
      </w:r>
    </w:p>
    <w:p>
      <w:pPr>
        <w:pStyle w:val="ListParagraph"/>
        <w:numPr>
          <w:ilvl w:val="0"/>
          <w:numId w:val="2"/>
        </w:numPr>
        <w:spacing w:after="90" w:line="270"/>
      </w:pPr>
      <w:r>
        <w:rPr>
          <w:rFonts w:ascii="Calibri" w:cs="Calibri" w:eastAsia="Calibri" w:hAnsi="Calibri"/>
          <w:color w:val="333333"/>
          <w:sz w:val="21"/>
          <w:szCs w:val="21"/>
        </w:rPr>
        <w:t xml:space="preserve">Status changes with prerequisite-order override warnings.</w:t>
      </w:r>
    </w:p>
    <w:p>
      <w:pPr>
        <w:pStyle w:val="ListParagraph"/>
        <w:numPr>
          <w:ilvl w:val="0"/>
          <w:numId w:val="2"/>
        </w:numPr>
        <w:spacing w:after="90" w:line="270"/>
      </w:pPr>
      <w:r>
        <w:rPr>
          <w:rFonts w:ascii="Calibri" w:cs="Calibri" w:eastAsia="Calibri" w:hAnsi="Calibri"/>
          <w:color w:val="333333"/>
          <w:sz w:val="21"/>
          <w:szCs w:val="21"/>
        </w:rPr>
        <w:t xml:space="preserve">Notes/messaging: client-visible or internal-only, with file attachments uploaded to Firebase Storage; an AI "proofread" action (src/ai/flows/proofread-note) cleans up staff-written notes before sending.</w:t>
      </w:r>
    </w:p>
    <w:p>
      <w:pPr>
        <w:pStyle w:val="ListParagraph"/>
        <w:numPr>
          <w:ilvl w:val="0"/>
          <w:numId w:val="2"/>
        </w:numPr>
        <w:spacing w:after="90" w:line="270"/>
      </w:pPr>
      <w:r>
        <w:rPr>
          <w:rFonts w:ascii="Calibri" w:cs="Calibri" w:eastAsia="Calibri" w:hAnsi="Calibri"/>
          <w:color w:val="333333"/>
          <w:sz w:val="21"/>
          <w:szCs w:val="21"/>
        </w:rPr>
        <w:t xml:space="preserve">Document requests &amp; review: staff can request ad-hoc documents, batch-approve pending uploads, or reject an individual document with a reason — each action emails the client (or the partner, depending on documentContact) and logs a note.</w:t>
      </w:r>
    </w:p>
    <w:p>
      <w:pPr>
        <w:pStyle w:val="ListParagraph"/>
        <w:numPr>
          <w:ilvl w:val="0"/>
          <w:numId w:val="2"/>
        </w:numPr>
        <w:spacing w:after="90" w:line="270"/>
      </w:pPr>
      <w:r>
        <w:rPr>
          <w:rFonts w:ascii="Calibri" w:cs="Calibri" w:eastAsia="Calibri" w:hAnsi="Calibri"/>
          <w:color w:val="333333"/>
          <w:sz w:val="21"/>
          <w:szCs w:val="21"/>
        </w:rPr>
        <w:t xml:space="preserve">Discount code generation for goodwill/retention (10% one-off code tied to the order).</w:t>
      </w:r>
    </w:p>
    <w:p>
      <w:pPr>
        <w:pStyle w:val="ListParagraph"/>
        <w:numPr>
          <w:ilvl w:val="0"/>
          <w:numId w:val="2"/>
        </w:numPr>
        <w:spacing w:after="90" w:line="270"/>
      </w:pPr>
      <w:r>
        <w:rPr>
          <w:rFonts w:ascii="Calibri" w:cs="Calibri" w:eastAsia="Calibri" w:hAnsi="Calibri"/>
          <w:color w:val="333333"/>
          <w:sz w:val="21"/>
          <w:szCs w:val="21"/>
        </w:rPr>
        <w:t xml:space="preserve">Order dependency linking: search and link another order as a prerequisite (linkOrderDependencyAtomic / unlinkOrderDependencyAtomic in order-admin-actions.ts), with circular-dependency protection.</w:t>
      </w:r>
    </w:p>
    <w:p>
      <w:pPr>
        <w:pStyle w:val="ListParagraph"/>
        <w:numPr>
          <w:ilvl w:val="0"/>
          <w:numId w:val="2"/>
        </w:numPr>
        <w:spacing w:after="90" w:line="270"/>
      </w:pPr>
      <w:r>
        <w:rPr>
          <w:rFonts w:ascii="Calibri" w:cs="Calibri" w:eastAsia="Calibri" w:hAnsi="Calibri"/>
          <w:color w:val="333333"/>
          <w:sz w:val="21"/>
          <w:szCs w:val="21"/>
        </w:rPr>
        <w:t xml:space="preserve">Staff reassignment (reassignOrderStaffAtomic) mirrors changes to the linked original order and logs an audit entry.</w:t>
      </w:r>
    </w:p>
    <w:p>
      <w:pPr>
        <w:pStyle w:val="Heading1"/>
        <w:pBdr>
          <w:bottom w:val="single" w:color="214392" w:sz="6" w:space="4"/>
        </w:pBdr>
        <w:spacing w:after="160" w:before="360"/>
      </w:pPr>
      <w:r>
        <w:rPr>
          <w:rFonts w:ascii="Calibri" w:cs="Calibri" w:eastAsia="Calibri" w:hAnsi="Calibri"/>
          <w:b/>
          <w:bCs/>
          <w:color w:val="1F3864"/>
          <w:sz w:val="30"/>
          <w:szCs w:val="30"/>
        </w:rPr>
        <w:t xml:space="preserve">7. Partner / Reseller Marketplace</w:t>
      </w:r>
    </w:p>
    <w:p>
      <w:pPr>
        <w:spacing w:after="160" w:line="276"/>
      </w:pPr>
      <w:r>
        <w:rPr>
          <w:rFonts w:ascii="Calibri" w:cs="Calibri" w:eastAsia="Calibri" w:hAnsi="Calibri"/>
          <w:color w:val="333333"/>
          <w:sz w:val="21"/>
          <w:szCs w:val="21"/>
        </w:rPr>
        <w:t xml:space="preserve">Partners run white-labelled mini-practices on top of the platform. When a partner order is ready to move to Processing, ProcessOrderModal.tsx (src/components/partner/ProcessOrderModal.tsx) presents two choices, both funded from the partner’s prepaid creditBalance ("wallet"):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Choice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Cost deducted from wallet</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What happens (src/app/actions/wallet-actions.ts)</w:t>
            </w:r>
          </w:p>
        </w:tc>
      </w:tr>
      <w:tr>
        <w:tc>
          <w:tcPr>
            <w:tcW w:type="dxa" w:w="2600"/>
            <w:tcMar>
              <w:top w:type="dxa" w:w="80"/>
              <w:left w:type="dxa" w:w="100"/>
              <w:bottom w:type="dxa" w:w="80"/>
              <w:right w:type="dxa" w:w="100"/>
            </w:tcMar>
          </w:tcPr>
          <w:p>
            <w:r>
              <w:rPr>
                <w:rFonts w:ascii="Calibri" w:cs="Calibri" w:eastAsia="Calibri" w:hAnsi="Calibri"/>
                <w:b w:val="false"/>
                <w:bCs w:val="false"/>
                <w:color w:val="333333"/>
                <w:sz w:val="19"/>
                <w:szCs w:val="19"/>
              </w:rPr>
              <w:t xml:space="preserve">Complete it yourself</w:t>
            </w:r>
          </w:p>
        </w:tc>
        <w:tc>
          <w:tcPr>
            <w:tcW w:type="dxa" w:w="3400"/>
            <w:tcMar>
              <w:top w:type="dxa" w:w="80"/>
              <w:left w:type="dxa" w:w="100"/>
              <w:bottom w:type="dxa" w:w="80"/>
              <w:right w:type="dxa" w:w="100"/>
            </w:tcMar>
          </w:tcPr>
          <w:p>
            <w:r>
              <w:rPr>
                <w:rFonts w:ascii="Calibri" w:cs="Calibri" w:eastAsia="Calibri" w:hAnsi="Calibri"/>
                <w:b w:val="false"/>
                <w:bCs w:val="false"/>
                <w:color w:val="333333"/>
                <w:sz w:val="19"/>
                <w:szCs w:val="19"/>
              </w:rPr>
              <w:t xml:space="preserve">Platform royalty: 10% of order value, min R100 / max R500 (completeOrderWithRoyalty)</w:t>
            </w:r>
          </w:p>
        </w:tc>
        <w:tc>
          <w:tcPr>
            <w:tcW w:type="dxa" w:w="3400"/>
            <w:tcMar>
              <w:top w:type="dxa" w:w="80"/>
              <w:left w:type="dxa" w:w="100"/>
              <w:bottom w:type="dxa" w:w="80"/>
              <w:right w:type="dxa" w:w="100"/>
            </w:tcMar>
          </w:tcPr>
          <w:p>
            <w:r>
              <w:rPr>
                <w:rFonts w:ascii="Calibri" w:cs="Calibri" w:eastAsia="Calibri" w:hAnsi="Calibri"/>
                <w:b w:val="false"/>
                <w:bCs w:val="false"/>
                <w:color w:val="333333"/>
                <w:sz w:val="19"/>
                <w:szCs w:val="19"/>
              </w:rPr>
              <w:t xml:space="preserve">Order simply moves to Processing; partner fulfils the work themselves.</w:t>
            </w:r>
          </w:p>
        </w:tc>
      </w:tr>
      <w:tr>
        <w:tc>
          <w:tcPr>
            <w:tcW w:type="dxa" w:w="2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Outsource to My Accountant</w:t>
            </w:r>
          </w:p>
        </w:tc>
        <w:tc>
          <w:tcPr>
            <w:tcW w:type="dxa" w:w="34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Wholesale cost of the services (service.resellerPrice, fallback 80% of price) (outsourceOrderFromWallet)</w:t>
            </w:r>
          </w:p>
        </w:tc>
        <w:tc>
          <w:tcPr>
            <w:tcW w:type="dxa" w:w="34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Order is flagged isOutsourced, a document-contact preference is recorded, the linked original order is synced, staff is auto-assigned by department, and a document-request email fires immediately.</w:t>
            </w:r>
          </w:p>
        </w:tc>
      </w:tr>
    </w:tbl>
    <w:p>
      <w:pPr>
        <w:spacing w:after="80"/>
      </w:pPr>
    </w:p>
    <w:p>
      <w:pPr>
        <w:spacing w:after="160" w:line="276"/>
      </w:pPr>
      <w:r>
        <w:rPr>
          <w:rFonts w:ascii="Calibri" w:cs="Calibri" w:eastAsia="Calibri" w:hAnsi="Calibri"/>
          <w:color w:val="333333"/>
          <w:sz w:val="21"/>
          <w:szCs w:val="21"/>
        </w:rPr>
        <w:t xml:space="preserve">Both actions run inside a Firestore transaction (read balance → validate → debit → update order) so a partner can never go into an unintended negative balance, and both write an audit entry to the partner’s walletLogs subcollection. Insufficient funds surface as an INSUFFICIENT_FUNDS error with the shortfall amount, driving the "Top up your wallet" prompt in the UI.</w:t>
      </w:r>
    </w:p>
    <w:p>
      <w:pPr>
        <w:spacing w:after="160" w:line="276"/>
      </w:pPr>
      <w:r>
        <w:rPr>
          <w:rFonts w:ascii="Calibri" w:cs="Calibri" w:eastAsia="Calibri" w:hAnsi="Calibri"/>
          <w:color w:val="333333"/>
          <w:sz w:val="21"/>
          <w:szCs w:val="21"/>
        </w:rPr>
        <w:t xml:space="preserve">Outsourced orders live as a linked pair: the partner’s own order (visible under /partner/orders) and a shadow order created for My Accountant’s queue (visible under /admin/orders and /partner/outsourced-orders), connected via originalOrderId. Status, notes, and document uploads are mirrored between the two wherever the admin or partner UI writes to either side.</w:t>
      </w:r>
    </w:p>
    <w:p>
      <w:pPr>
        <w:pStyle w:val="Heading1"/>
        <w:pBdr>
          <w:bottom w:val="single" w:color="214392" w:sz="6" w:space="4"/>
        </w:pBdr>
        <w:spacing w:after="160" w:before="360"/>
      </w:pPr>
      <w:r>
        <w:rPr>
          <w:rFonts w:ascii="Calibri" w:cs="Calibri" w:eastAsia="Calibri" w:hAnsi="Calibri"/>
          <w:b/>
          <w:bCs/>
          <w:color w:val="1F3864"/>
          <w:sz w:val="30"/>
          <w:szCs w:val="30"/>
        </w:rPr>
        <w:t xml:space="preserve">8. Order Linking &amp; Prerequisites</w:t>
      </w:r>
    </w:p>
    <w:p>
      <w:pPr>
        <w:pStyle w:val="ListParagraph"/>
        <w:numPr>
          <w:ilvl w:val="0"/>
          <w:numId w:val="2"/>
        </w:numPr>
        <w:spacing w:after="90" w:line="270"/>
      </w:pPr>
      <w:r>
        <w:rPr>
          <w:rFonts w:ascii="Calibri" w:cs="Calibri" w:eastAsia="Calibri" w:hAnsi="Calibri"/>
          <w:color w:val="333333"/>
          <w:sz w:val="21"/>
          <w:szCs w:val="21"/>
        </w:rPr>
        <w:t xml:space="preserve">originalOrderId / isOutsourced — links an outsourced shadow order back to the partner’s source order (status/notes/documents stay in sync).</w:t>
      </w:r>
    </w:p>
    <w:p>
      <w:pPr>
        <w:pStyle w:val="ListParagraph"/>
        <w:numPr>
          <w:ilvl w:val="0"/>
          <w:numId w:val="2"/>
        </w:numPr>
        <w:spacing w:after="90" w:line="270"/>
      </w:pPr>
      <w:r>
        <w:rPr>
          <w:rFonts w:ascii="Calibri" w:cs="Calibri" w:eastAsia="Calibri" w:hAnsi="Calibri"/>
          <w:color w:val="333333"/>
          <w:sz w:val="21"/>
          <w:szCs w:val="21"/>
        </w:rPr>
        <w:t xml:space="preserve">dependsOnOrderIds / blockedOrderIds — a general prerequisite graph (e.g. "company registration" must complete before "VAT registration" can). Enforced softly: staff get a warning and must explicitly override to complete a blocked order.</w:t>
      </w:r>
    </w:p>
    <w:p>
      <w:pPr>
        <w:pStyle w:val="ListParagraph"/>
        <w:numPr>
          <w:ilvl w:val="0"/>
          <w:numId w:val="2"/>
        </w:numPr>
        <w:spacing w:after="90" w:line="270"/>
      </w:pPr>
      <w:r>
        <w:rPr>
          <w:rFonts w:ascii="Calibri" w:cs="Calibri" w:eastAsia="Calibri" w:hAnsi="Calibri"/>
          <w:color w:val="333333"/>
          <w:sz w:val="21"/>
          <w:szCs w:val="21"/>
        </w:rPr>
        <w:t xml:space="preserve">OrderPrerequisiteRequirementsCard.tsx cross-checks a customer’s order history against each purchased service’s declared prerequisites and offers a one-click "create the missing prerequisite order" flow.</w:t>
      </w:r>
    </w:p>
    <w:p>
      <w:pPr>
        <w:pStyle w:val="Heading1"/>
        <w:pBdr>
          <w:bottom w:val="single" w:color="214392" w:sz="6" w:space="4"/>
        </w:pBdr>
        <w:spacing w:after="160" w:before="360"/>
      </w:pPr>
      <w:r>
        <w:rPr>
          <w:rFonts w:ascii="Calibri" w:cs="Calibri" w:eastAsia="Calibri" w:hAnsi="Calibri"/>
          <w:b/>
          <w:bCs/>
          <w:color w:val="1F3864"/>
          <w:sz w:val="30"/>
          <w:szCs w:val="30"/>
        </w:rPr>
        <w:t xml:space="preserve">9. Notifications &amp; Emails</w:t>
      </w:r>
    </w:p>
    <w:p>
      <w:pPr>
        <w:spacing w:after="160" w:line="276"/>
      </w:pPr>
      <w:r>
        <w:rPr>
          <w:rFonts w:ascii="Calibri" w:cs="Calibri" w:eastAsia="Calibri" w:hAnsi="Calibri"/>
          <w:color w:val="333333"/>
          <w:sz w:val="21"/>
          <w:szCs w:val="21"/>
        </w:rPr>
        <w:t xml:space="preserve">All transactional email for orders is rendered server-side with React Email (@react-email/components) and sent via src/lib/email.ts, which resolves reseller branding (logo/colour) so white-labelled partners’ clients see the partner’s identity, not My Accountant’s.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Email</w:t>
            </w:r>
          </w:p>
        </w:tc>
        <w:tc>
          <w:tcPr>
            <w:tcW w:type="dxa" w:w="3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Component</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Sent when</w:t>
            </w:r>
          </w:p>
        </w:tc>
      </w:tr>
      <w:tr>
        <w:tc>
          <w:tcPr>
            <w:tcW w:type="dxa" w:w="2600"/>
            <w:tcMar>
              <w:top w:type="dxa" w:w="80"/>
              <w:left w:type="dxa" w:w="100"/>
              <w:bottom w:type="dxa" w:w="80"/>
              <w:right w:type="dxa" w:w="100"/>
            </w:tcMar>
          </w:tcPr>
          <w:p>
            <w:r>
              <w:rPr>
                <w:rFonts w:ascii="Calibri" w:cs="Calibri" w:eastAsia="Calibri" w:hAnsi="Calibri"/>
                <w:b w:val="false"/>
                <w:bCs w:val="false"/>
                <w:color w:val="333333"/>
                <w:sz w:val="19"/>
                <w:szCs w:val="19"/>
              </w:rPr>
              <w:t xml:space="preserve">Order confirmation</w:t>
            </w:r>
          </w:p>
        </w:tc>
        <w:tc>
          <w:tcPr>
            <w:tcW w:type="dxa" w:w="3200"/>
            <w:tcMar>
              <w:top w:type="dxa" w:w="80"/>
              <w:left w:type="dxa" w:w="100"/>
              <w:bottom w:type="dxa" w:w="80"/>
              <w:right w:type="dxa" w:w="100"/>
            </w:tcMar>
          </w:tcPr>
          <w:p>
            <w:r>
              <w:rPr>
                <w:rFonts w:ascii="Calibri" w:cs="Calibri" w:eastAsia="Calibri" w:hAnsi="Calibri"/>
                <w:b w:val="false"/>
                <w:bCs w:val="false"/>
                <w:color w:val="333333"/>
                <w:sz w:val="19"/>
                <w:szCs w:val="19"/>
              </w:rPr>
              <w:t xml:space="preserve">OrderConfirmationEmail.tsx</w:t>
            </w:r>
          </w:p>
        </w:tc>
        <w:tc>
          <w:tcPr>
            <w:tcW w:type="dxa" w:w="3600"/>
            <w:tcMar>
              <w:top w:type="dxa" w:w="80"/>
              <w:left w:type="dxa" w:w="100"/>
              <w:bottom w:type="dxa" w:w="80"/>
              <w:right w:type="dxa" w:w="100"/>
            </w:tcMar>
          </w:tcPr>
          <w:p>
            <w:r>
              <w:rPr>
                <w:rFonts w:ascii="Calibri" w:cs="Calibri" w:eastAsia="Calibri" w:hAnsi="Calibri"/>
                <w:b w:val="false"/>
                <w:bCs w:val="false"/>
                <w:color w:val="333333"/>
                <w:sz w:val="19"/>
                <w:szCs w:val="19"/>
              </w:rPr>
              <w:t xml:space="preserve">Immediately after checkout (incl. new-account credentials if applicable).</w:t>
            </w:r>
          </w:p>
        </w:tc>
      </w:tr>
      <w:tr>
        <w:tc>
          <w:tcPr>
            <w:tcW w:type="dxa" w:w="2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Order status update</w:t>
            </w:r>
          </w:p>
        </w:tc>
        <w:tc>
          <w:tcPr>
            <w:tcW w:type="dxa" w:w="32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OrderStatusUpdateEmail.tsx</w:t>
            </w:r>
          </w:p>
        </w:tc>
        <w:tc>
          <w:tcPr>
            <w:tcW w:type="dxa" w:w="3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Any status change made via updateOrderStatusAtomic / the queue view.</w:t>
            </w:r>
          </w:p>
        </w:tc>
      </w:tr>
      <w:tr>
        <w:tc>
          <w:tcPr>
            <w:tcW w:type="dxa" w:w="2600"/>
            <w:tcMar>
              <w:top w:type="dxa" w:w="80"/>
              <w:left w:type="dxa" w:w="100"/>
              <w:bottom w:type="dxa" w:w="80"/>
              <w:right w:type="dxa" w:w="100"/>
            </w:tcMar>
          </w:tcPr>
          <w:p>
            <w:r>
              <w:rPr>
                <w:rFonts w:ascii="Calibri" w:cs="Calibri" w:eastAsia="Calibri" w:hAnsi="Calibri"/>
                <w:b w:val="false"/>
                <w:bCs w:val="false"/>
                <w:color w:val="333333"/>
                <w:sz w:val="19"/>
                <w:szCs w:val="19"/>
              </w:rPr>
              <w:t xml:space="preserve">Document request</w:t>
            </w:r>
          </w:p>
        </w:tc>
        <w:tc>
          <w:tcPr>
            <w:tcW w:type="dxa" w:w="3200"/>
            <w:tcMar>
              <w:top w:type="dxa" w:w="80"/>
              <w:left w:type="dxa" w:w="100"/>
              <w:bottom w:type="dxa" w:w="80"/>
              <w:right w:type="dxa" w:w="100"/>
            </w:tcMar>
          </w:tcPr>
          <w:p>
            <w:r>
              <w:rPr>
                <w:rFonts w:ascii="Calibri" w:cs="Calibri" w:eastAsia="Calibri" w:hAnsi="Calibri"/>
                <w:b w:val="false"/>
                <w:bCs w:val="false"/>
                <w:color w:val="333333"/>
                <w:sz w:val="19"/>
                <w:szCs w:val="19"/>
              </w:rPr>
              <w:t xml:space="preserve">DocumentRequestEmail.tsx</w:t>
            </w:r>
          </w:p>
        </w:tc>
        <w:tc>
          <w:tcPr>
            <w:tcW w:type="dxa" w:w="3600"/>
            <w:tcMar>
              <w:top w:type="dxa" w:w="80"/>
              <w:left w:type="dxa" w:w="100"/>
              <w:bottom w:type="dxa" w:w="80"/>
              <w:right w:type="dxa" w:w="100"/>
            </w:tcMar>
          </w:tcPr>
          <w:p>
            <w:r>
              <w:rPr>
                <w:rFonts w:ascii="Calibri" w:cs="Calibri" w:eastAsia="Calibri" w:hAnsi="Calibri"/>
                <w:b w:val="false"/>
                <w:bCs w:val="false"/>
                <w:color w:val="333333"/>
                <w:sz w:val="19"/>
                <w:szCs w:val="19"/>
              </w:rPr>
              <w:t xml:space="preserve">Order enters Processing, or on-demand from the order detail page.</w:t>
            </w:r>
          </w:p>
        </w:tc>
      </w:tr>
      <w:tr>
        <w:tc>
          <w:tcPr>
            <w:tcW w:type="dxa" w:w="2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Document review feedback</w:t>
            </w:r>
          </w:p>
        </w:tc>
        <w:tc>
          <w:tcPr>
            <w:tcW w:type="dxa" w:w="32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via sendDocumentReviewFeedback action</w:t>
            </w:r>
          </w:p>
        </w:tc>
        <w:tc>
          <w:tcPr>
            <w:tcW w:type="dxa" w:w="3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Staff approve/reject uploaded documents.</w:t>
            </w:r>
          </w:p>
        </w:tc>
      </w:tr>
      <w:tr>
        <w:tc>
          <w:tcPr>
            <w:tcW w:type="dxa" w:w="2600"/>
            <w:tcMar>
              <w:top w:type="dxa" w:w="80"/>
              <w:left w:type="dxa" w:w="100"/>
              <w:bottom w:type="dxa" w:w="80"/>
              <w:right w:type="dxa" w:w="100"/>
            </w:tcMar>
          </w:tcPr>
          <w:p>
            <w:r>
              <w:rPr>
                <w:rFonts w:ascii="Calibri" w:cs="Calibri" w:eastAsia="Calibri" w:hAnsi="Calibri"/>
                <w:b w:val="false"/>
                <w:bCs w:val="false"/>
                <w:color w:val="333333"/>
                <w:sz w:val="19"/>
                <w:szCs w:val="19"/>
              </w:rPr>
              <w:t xml:space="preserve">Review request</w:t>
            </w:r>
          </w:p>
        </w:tc>
        <w:tc>
          <w:tcPr>
            <w:tcW w:type="dxa" w:w="3200"/>
            <w:tcMar>
              <w:top w:type="dxa" w:w="80"/>
              <w:left w:type="dxa" w:w="100"/>
              <w:bottom w:type="dxa" w:w="80"/>
              <w:right w:type="dxa" w:w="100"/>
            </w:tcMar>
          </w:tcPr>
          <w:p>
            <w:r>
              <w:rPr>
                <w:rFonts w:ascii="Calibri" w:cs="Calibri" w:eastAsia="Calibri" w:hAnsi="Calibri"/>
                <w:b w:val="false"/>
                <w:bCs w:val="false"/>
                <w:color w:val="333333"/>
                <w:sz w:val="19"/>
                <w:szCs w:val="19"/>
              </w:rPr>
              <w:t xml:space="preserve">ReviewRequestEmail.tsx</w:t>
            </w:r>
          </w:p>
        </w:tc>
        <w:tc>
          <w:tcPr>
            <w:tcW w:type="dxa" w:w="3600"/>
            <w:tcMar>
              <w:top w:type="dxa" w:w="80"/>
              <w:left w:type="dxa" w:w="100"/>
              <w:bottom w:type="dxa" w:w="80"/>
              <w:right w:type="dxa" w:w="100"/>
            </w:tcMar>
          </w:tcPr>
          <w:p>
            <w:r>
              <w:rPr>
                <w:rFonts w:ascii="Calibri" w:cs="Calibri" w:eastAsia="Calibri" w:hAnsi="Calibri"/>
                <w:b w:val="false"/>
                <w:bCs w:val="false"/>
                <w:color w:val="333333"/>
                <w:sz w:val="19"/>
                <w:szCs w:val="19"/>
              </w:rPr>
              <w:t xml:space="preserve">Order marked Completed.</w:t>
            </w:r>
          </w:p>
        </w:tc>
      </w:tr>
      <w:tr>
        <w:tc>
          <w:tcPr>
            <w:tcW w:type="dxa" w:w="2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Staff assignment</w:t>
            </w:r>
          </w:p>
        </w:tc>
        <w:tc>
          <w:tcPr>
            <w:tcW w:type="dxa" w:w="32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StaffAssignmentEmail.tsx</w:t>
            </w:r>
          </w:p>
        </w:tc>
        <w:tc>
          <w:tcPr>
            <w:tcW w:type="dxa" w:w="36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A staff member is (re)assigned to an order.</w:t>
            </w:r>
          </w:p>
        </w:tc>
      </w:tr>
    </w:tbl>
    <w:p>
      <w:pPr>
        <w:pStyle w:val="Heading1"/>
        <w:pBdr>
          <w:bottom w:val="single" w:color="214392" w:sz="6" w:space="4"/>
        </w:pBdr>
        <w:spacing w:after="160" w:before="360"/>
      </w:pPr>
      <w:r>
        <w:rPr>
          <w:rFonts w:ascii="Calibri" w:cs="Calibri" w:eastAsia="Calibri" w:hAnsi="Calibri"/>
          <w:b/>
          <w:bCs/>
          <w:color w:val="1F3864"/>
          <w:sz w:val="30"/>
          <w:szCs w:val="30"/>
        </w:rPr>
        <w:t xml:space="preserve">10. Security Model</w:t>
      </w:r>
    </w:p>
    <w:p>
      <w:pPr>
        <w:spacing w:after="160" w:line="276"/>
      </w:pPr>
      <w:r>
        <w:rPr>
          <w:rFonts w:ascii="Calibri" w:cs="Calibri" w:eastAsia="Calibri" w:hAnsi="Calibri"/>
          <w:color w:val="333333"/>
          <w:sz w:val="21"/>
          <w:szCs w:val="21"/>
        </w:rPr>
        <w:t xml:space="preserve">firestore.rules (match /orders/{orderId}, line 179) governs direct client-SDK access:</w:t>
      </w:r>
    </w:p>
    <w:p>
      <w:pPr>
        <w:pStyle w:val="ListParagraph"/>
        <w:numPr>
          <w:ilvl w:val="0"/>
          <w:numId w:val="2"/>
        </w:numPr>
        <w:spacing w:after="90" w:line="270"/>
      </w:pPr>
      <w:r>
        <w:rPr>
          <w:rFonts w:ascii="Calibri" w:cs="Calibri" w:eastAsia="Calibri" w:hAnsi="Calibri"/>
          <w:color w:val="333333"/>
          <w:sz w:val="21"/>
          <w:szCs w:val="21"/>
        </w:rPr>
        <w:t xml:space="preserve">Read: admins/staff, the order’s userId/resellerId/partnerId owner (or their staff, via isPartnerStaffOf), or a matching customerEmail / endCustomerEmail on the auth token.</w:t>
      </w:r>
    </w:p>
    <w:p>
      <w:pPr>
        <w:pStyle w:val="ListParagraph"/>
        <w:numPr>
          <w:ilvl w:val="0"/>
          <w:numId w:val="2"/>
        </w:numPr>
        <w:spacing w:after="90" w:line="270"/>
      </w:pPr>
      <w:r>
        <w:rPr>
          <w:rFonts w:ascii="Calibri" w:cs="Calibri" w:eastAsia="Calibri" w:hAnsi="Calibri"/>
          <w:color w:val="333333"/>
          <w:sz w:val="21"/>
          <w:szCs w:val="21"/>
        </w:rPr>
        <w:t xml:space="preserve">Create: restricted to admins/staff/users with the "Manage Orders" module — ordinary order creation is intentionally routed through server actions (Firebase Admin SDK) in checkout-core.ts, not the client SDK, so pricing and rate-limits can’t be bypassed.</w:t>
      </w:r>
    </w:p>
    <w:p>
      <w:pPr>
        <w:pStyle w:val="ListParagraph"/>
        <w:numPr>
          <w:ilvl w:val="0"/>
          <w:numId w:val="2"/>
        </w:numPr>
        <w:spacing w:after="90" w:line="270"/>
      </w:pPr>
      <w:r>
        <w:rPr>
          <w:rFonts w:ascii="Calibri" w:cs="Calibri" w:eastAsia="Calibri" w:hAnsi="Calibri"/>
          <w:color w:val="333333"/>
          <w:sz w:val="21"/>
          <w:szCs w:val="21"/>
        </w:rPr>
        <w:t xml:space="preserve">Update: same ownership rules as read — this is what allows a partner to update their own outsourced order’s notes/status directly from the client SDK.</w:t>
      </w:r>
    </w:p>
    <w:p>
      <w:pPr>
        <w:pStyle w:val="ListParagraph"/>
        <w:numPr>
          <w:ilvl w:val="0"/>
          <w:numId w:val="2"/>
        </w:numPr>
        <w:spacing w:after="90" w:line="270"/>
      </w:pPr>
      <w:r>
        <w:rPr>
          <w:rFonts w:ascii="Calibri" w:cs="Calibri" w:eastAsia="Calibri" w:hAnsi="Calibri"/>
          <w:color w:val="333333"/>
          <w:sz w:val="21"/>
          <w:szCs w:val="21"/>
        </w:rPr>
        <w:t xml:space="preserve">Delete: admin only.</w:t>
      </w:r>
    </w:p>
    <w:p>
      <w:pPr>
        <w:pStyle w:val="Heading1"/>
        <w:pBdr>
          <w:bottom w:val="single" w:color="214392" w:sz="6" w:space="4"/>
        </w:pBdr>
        <w:spacing w:after="160" w:before="360"/>
      </w:pPr>
      <w:r>
        <w:rPr>
          <w:rFonts w:ascii="Calibri" w:cs="Calibri" w:eastAsia="Calibri" w:hAnsi="Calibri"/>
          <w:b/>
          <w:bCs/>
          <w:color w:val="1F3864"/>
          <w:sz w:val="30"/>
          <w:szCs w:val="30"/>
        </w:rPr>
        <w:t xml:space="preserve">11. Key Files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00"/>
        <w:gridCol w:w="5700"/>
      </w:tblGrid>
      <w:tr>
        <w:trPr>
          <w:tblHeader/>
        </w:trPr>
        <w:tc>
          <w:tcPr>
            <w:tcW w:type="dxa" w:w="39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Path</w:t>
            </w:r>
          </w:p>
        </w:tc>
        <w:tc>
          <w:tcPr>
            <w:tcW w:type="dxa" w:w="57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Role</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src/lib/types.ts</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Order / OrderItem / OrderNote / AuditEntry type definitions.</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src/lib/sequence.ts</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Generates the next sequential human-readable order ID.</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src/app/actions/checkout-core.ts</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Server action: validated order creation from checkout + discount validation.</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src/app/actions/order-actions.ts</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Server actions: staff/document/review/status-update transactional emails.</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src/app/actions/order-admin-actions.ts</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Atomic status change, staff reassignment, prerequisite link/unlink.</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src/app/actions/wallet-actions.ts</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Partner wallet debit for self-fulfilment (royalty) or outsourcing (wholesale).</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src/app/api/payfast/notify/route.ts</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PayFast ITN webhook — payment confirmation, wallet top-ups, subscriptions.</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src/app/api/admin/reconcile-orders/route.ts</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Manual PayFast reconciliation sweep for missed webhooks.</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src/app/admin/orders/page.tsx</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Admin order queue (list, filters, quick actions).</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src/app/admin/orders/[id]/page.tsx</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Admin order detail — full order management workspace.</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src/app/dashboard/orders/*</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Client-facing order list and detail/pay pages.</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src/app/partner/orders/*</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Partner order list/detail, including the process/outsource flow.</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src/app/partner/outsourced-orders/*</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Partner-side view of work sent to My Accountant.</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src/app/order-confirmation/[orderId]/page.tsx</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Post-checkout payment page (Pay Now via PayFast) + prerequisite upsell.</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src/components/admin/CreateOrderForm.tsx, CreateResellerOrderForm.tsx</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Manual order creation by staff.</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src/components/partner/CreatePartnerOrderForm.tsx, ProcessOrderModal.tsx</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Manual order creation and process/outsource decision for partners.</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src/components/orders/OrderPrerequisiteRequirementsCard.tsx, NoteAttachmentsPreview.tsx</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Shared order UI: prerequisite upsell, note attachment previews.</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src/components/checkout/CheckoutForm.tsx, ServiceCheckoutForm.tsx, ClientServiceCheckoutForm.tsx</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Client-facing checkout flows.</w:t>
            </w:r>
          </w:p>
        </w:tc>
      </w:tr>
      <w:tr>
        <w:tc>
          <w:tcPr>
            <w:tcW w:type="dxa" w:w="3900"/>
            <w:tcMar>
              <w:top w:type="dxa" w:w="80"/>
              <w:left w:type="dxa" w:w="100"/>
              <w:bottom w:type="dxa" w:w="80"/>
              <w:right w:type="dxa" w:w="100"/>
            </w:tcMar>
          </w:tcPr>
          <w:p>
            <w:r>
              <w:rPr>
                <w:rFonts w:ascii="Calibri" w:cs="Calibri" w:eastAsia="Calibri" w:hAnsi="Calibri"/>
                <w:b w:val="false"/>
                <w:bCs w:val="false"/>
                <w:color w:val="333333"/>
                <w:sz w:val="19"/>
                <w:szCs w:val="19"/>
              </w:rPr>
              <w:t xml:space="preserve">src/components/emails/Order*.tsx</w:t>
            </w:r>
          </w:p>
        </w:tc>
        <w:tc>
          <w:tcPr>
            <w:tcW w:type="dxa" w:w="5700"/>
            <w:tcMar>
              <w:top w:type="dxa" w:w="80"/>
              <w:left w:type="dxa" w:w="100"/>
              <w:bottom w:type="dxa" w:w="80"/>
              <w:right w:type="dxa" w:w="100"/>
            </w:tcMar>
          </w:tcPr>
          <w:p>
            <w:r>
              <w:rPr>
                <w:rFonts w:ascii="Calibri" w:cs="Calibri" w:eastAsia="Calibri" w:hAnsi="Calibri"/>
                <w:b w:val="false"/>
                <w:bCs w:val="false"/>
                <w:color w:val="333333"/>
                <w:sz w:val="19"/>
                <w:szCs w:val="19"/>
              </w:rPr>
              <w:t xml:space="preserve">React Email templates for order-related notifications.</w:t>
            </w:r>
          </w:p>
        </w:tc>
      </w:tr>
      <w:tr>
        <w:tc>
          <w:tcPr>
            <w:tcW w:type="dxa" w:w="39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firestore.rules</w:t>
            </w:r>
          </w:p>
        </w:tc>
        <w:tc>
          <w:tcPr>
            <w:tcW w:type="dxa" w:w="5700"/>
            <w:shd w:fill="EEF2F9" w:val="clear"/>
            <w:tcMar>
              <w:top w:type="dxa" w:w="80"/>
              <w:left w:type="dxa" w:w="100"/>
              <w:bottom w:type="dxa" w:w="80"/>
              <w:right w:type="dxa" w:w="100"/>
            </w:tcMar>
          </w:tcPr>
          <w:p>
            <w:r>
              <w:rPr>
                <w:rFonts w:ascii="Calibri" w:cs="Calibri" w:eastAsia="Calibri" w:hAnsi="Calibri"/>
                <w:b w:val="false"/>
                <w:bCs w:val="false"/>
                <w:color w:val="333333"/>
                <w:sz w:val="19"/>
                <w:szCs w:val="19"/>
              </w:rPr>
              <w:t xml:space="preserve">Security rules governing direct client-SDK access to the orders collection.</w:t>
            </w:r>
          </w:p>
        </w:tc>
      </w:tr>
    </w:tbl>
    <w:p>
      <w:pPr>
        <w:spacing w:after="200"/>
      </w:pPr>
    </w:p>
    <w:p>
      <w:pPr>
        <w:pBdr>
          <w:top w:val="single" w:color="CCCCCC" w:sz="4" w:space="4"/>
        </w:pBdr>
        <w:spacing w:before="200"/>
      </w:pPr>
      <w:r>
        <w:rPr>
          <w:rFonts w:ascii="Calibri" w:cs="Calibri" w:eastAsia="Calibri" w:hAnsi="Calibri"/>
          <w:i/>
          <w:iCs/>
          <w:color w:val="5B6472"/>
          <w:sz w:val="18"/>
          <w:szCs w:val="18"/>
        </w:rPr>
        <w:t xml:space="preserve">Prepared by Claude · based on a direct read-through of the codebase at C:\myacc.</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2026-08-19T06:08:48.670Z</dcterms:created>
  <dcterms:modified xsi:type="dcterms:W3CDTF">2026-08-19T06:08:48.688Z</dcterms:modified>
</cp:coreProperties>
</file>

<file path=docProps/custom.xml><?xml version="1.0" encoding="utf-8"?>
<Properties xmlns="http://schemas.openxmlformats.org/officeDocument/2006/custom-properties" xmlns:vt="http://schemas.openxmlformats.org/officeDocument/2006/docPropsVTypes"/>
</file>