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Comprehensive UX &amp; Functionality Audit</w:t>
      </w:r>
    </w:p>
    <w:p>
      <w:pPr>
        <w:spacing w:after="40"/>
      </w:pPr>
      <w:r>
        <w:rPr>
          <w:i/>
          <w:iCs/>
          <w:color w:val="555555"/>
          <w:sz w:val="24"/>
          <w:szCs w:val="24"/>
        </w:rPr>
        <w:t xml:space="preserve">myacc.co.za — full application review</w:t>
      </w:r>
    </w:p>
    <w:p>
      <w:pPr>
        <w:spacing w:after="300"/>
      </w:pPr>
      <w:r>
        <w:rPr>
          <w:color w:val="888888"/>
          <w:sz w:val="20"/>
          <w:szCs w:val="20"/>
        </w:rPr>
        <w:t xml:space="preserve">Prepared 15 August 2026 — audit only, no code changes made</w:t>
      </w:r>
    </w:p>
    <w:p>
      <w:pPr>
        <w:pStyle w:val="Heading1"/>
        <w:spacing w:after="160" w:before="360"/>
      </w:pPr>
      <w:r>
        <w:t xml:space="preserve">Executive Summary</w:t>
      </w:r>
    </w:p>
    <w:p>
      <w:pPr>
        <w:spacing w:after="140"/>
      </w:pPr>
      <w:r>
        <w:t xml:space="preserve">This is a large, actively developed application — roughly 280 distinct routes spanning a public marketing/service catalog, a checkout and payment flow, and four separate authenticated portals (client dashboard, partner portal, staff/admin, and a reseller area) layered with a full bookkeeping product (AI Accountant) and a payroll product (AI Payroll). The core commerce path — browse services, view pricing, add to cart, check out — is genuinely well built: clean empty states, working validation, sensible loading states, a well-designed password-reset flow with good security hygiene (it never confirms whether an email has an account), and no console errors on any of the public pages tested.</w:t>
      </w:r>
    </w:p>
    <w:p>
      <w:pPr>
        <w:spacing w:after="140"/>
      </w:pPr>
      <w:r>
        <w:t xml:space="preserve">The problems are concentrated in three places. First, a Firestore security rule allows any signed-in user to rewrite their own account role from the browser console — this is the single most important fix in this document, and it affects the whole platform, not one feature. Second, several server actions across the AI Accountant and partner modules trust a caller-supplied ID with no check that the caller actually owns that data. Third, the primary navigation has grown to 26 items in one dropdown and 20+ in another, mostly long-tail SEO pages mixed in with the handful of links a real visitor is trying to find — a genuine usability problem, not a cosmetic one, and one this audit was asked to flag even though it borders on IA/design.</w:t>
      </w:r>
    </w:p>
    <w:p>
      <w:pPr>
        <w:spacing w:after="140"/>
      </w:pPr>
      <w:r>
        <w:t xml:space="preserve">Below that top tier, the site is in reasonable shape: a handful of broken/incomplete flows (the partner self-service AI Accountant path dead-ends at a login wall), some inconsistency (six-plus date formats in circulation, two different password-length minimums), and normal maintenance debt (a broken lint script, some very large files, 112 known dependency vulnerabilities). Nothing found suggests the application is fragile — the issues are fixable without a rewrite.</w:t>
      </w:r>
    </w:p>
    <w:p>
      <w:pPr>
        <w:pStyle w:val="Heading2"/>
        <w:spacing w:after="120" w:before="260"/>
      </w:pPr>
      <w:r>
        <w:t xml:space="preserve">Methodology &amp; Scope</w:t>
      </w:r>
    </w:p>
    <w:p>
      <w:pPr>
        <w:spacing w:after="140"/>
      </w:pPr>
      <w:r>
        <w:t xml:space="preserve">This audit combined two methods. Live interactive testing was performed against the production site (myacc.co.za) using a real browser session, covering the highest-traffic, revenue-critical paths: homepage and navigation, the product catalog and product detail pages, cart, checkout, login (including password reset), an unauthenticated access attempt on an admin route, and a 404 page. No forms containing personal data, payment details, or account-creation data were submitted during this pass — no real accounts, orders, or messages were created, per safety constraints on entering or submitting form data without explicit permission. Authenticated areas — admin, client dashboard, partner portal, AI Accountant, and AI Payroll, roughly 150 of the 280 total routes — were audited through direct code inspection rather than live clicking, since exercising them live would require creating real accounts and data in the production system. The AI Accountant module and the Become-a-Partner/staff-invite flow received the deepest review, carried out in two earlier dedicated passes and incorporated here. A literal manual QA pass of every modal, table, and button across 280 routes and five breakpoints is a multi-week effort beyond a single session; this audit prioritized breadth across the whole route map plus real depth on the highest-impact areas, and says so plainly rather than claiming uniform coverage.</w:t>
      </w:r>
    </w:p>
    <w:p>
      <w:pPr>
        <w:pStyle w:val="Heading1"/>
        <w:spacing w:after="160" w:before="360"/>
      </w:pPr>
      <w:r>
        <w:t xml:space="preserve">Routes Audited</w:t>
      </w:r>
    </w:p>
    <w:p>
      <w:pPr>
        <w:spacing w:after="140"/>
      </w:pPr>
      <w:r>
        <w:t xml:space="preserve">Full route inventory was enumerated programmatically (~280 page routes). Coverage by 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c>
          <w:tcPr>
            <w:tcW w:type="dxa" w:w="2800"/>
            <w:shd w:fill="1F3864" w:val="clear"/>
          </w:tcPr>
          <w:p>
            <w:r>
              <w:rPr>
                <w:b/>
                <w:bCs/>
                <w:color w:val="FFFFFF"/>
                <w:sz w:val="20"/>
                <w:szCs w:val="20"/>
              </w:rPr>
              <w:t xml:space="preserve">Area</w:t>
            </w:r>
          </w:p>
        </w:tc>
        <w:tc>
          <w:tcPr>
            <w:tcW w:type="dxa" w:w="3600"/>
            <w:shd w:fill="1F3864" w:val="clear"/>
          </w:tcPr>
          <w:p>
            <w:r>
              <w:rPr>
                <w:b/>
                <w:bCs/>
                <w:color w:val="FFFFFF"/>
                <w:sz w:val="20"/>
                <w:szCs w:val="20"/>
              </w:rPr>
              <w:t xml:space="preserve">Routes</w:t>
            </w:r>
          </w:p>
        </w:tc>
        <w:tc>
          <w:tcPr>
            <w:tcW w:type="dxa" w:w="2600"/>
            <w:shd w:fill="1F3864" w:val="clear"/>
          </w:tcPr>
          <w:p>
            <w:r>
              <w:rPr>
                <w:b/>
                <w:bCs/>
                <w:color w:val="FFFFFF"/>
                <w:sz w:val="20"/>
                <w:szCs w:val="20"/>
              </w:rPr>
              <w:t xml:space="preserve">Method</w:t>
            </w:r>
          </w:p>
        </w:tc>
      </w:tr>
      <w:tr>
        <w:tc>
          <w:tcPr>
            <w:tcW w:type="dxa" w:w="2800"/>
          </w:tcPr>
          <w:p>
            <w:r>
              <w:rPr>
                <w:b w:val="false"/>
                <w:bCs w:val="false"/>
                <w:color w:val="000000"/>
                <w:sz w:val="20"/>
                <w:szCs w:val="20"/>
              </w:rPr>
              <w:t xml:space="preserve">Public marketing &amp; service pages</w:t>
            </w:r>
          </w:p>
        </w:tc>
        <w:tc>
          <w:tcPr>
            <w:tcW w:type="dxa" w:w="3600"/>
          </w:tcPr>
          <w:p>
            <w:r>
              <w:rPr>
                <w:b w:val="false"/>
                <w:bCs w:val="false"/>
                <w:color w:val="000000"/>
                <w:sz w:val="20"/>
                <w:szCs w:val="20"/>
              </w:rPr>
              <w:t xml:space="preserve">~140 (home, products, city/software landing pages, calculators, blog, SARS query guides)</w:t>
            </w:r>
          </w:p>
        </w:tc>
        <w:tc>
          <w:tcPr>
            <w:tcW w:type="dxa" w:w="2600"/>
          </w:tcPr>
          <w:p>
            <w:r>
              <w:rPr>
                <w:b w:val="false"/>
                <w:bCs w:val="false"/>
                <w:color w:val="000000"/>
                <w:sz w:val="20"/>
                <w:szCs w:val="20"/>
              </w:rPr>
              <w:t xml:space="preserve">Live spot-check + code review</w:t>
            </w:r>
          </w:p>
        </w:tc>
      </w:tr>
      <w:tr>
        <w:tc>
          <w:tcPr>
            <w:tcW w:type="dxa" w:w="2800"/>
            <w:shd w:fill="F2F2F2" w:val="clear"/>
          </w:tcPr>
          <w:p>
            <w:r>
              <w:rPr>
                <w:b w:val="false"/>
                <w:bCs w:val="false"/>
                <w:color w:val="000000"/>
                <w:sz w:val="20"/>
                <w:szCs w:val="20"/>
              </w:rPr>
              <w:t xml:space="preserve">Checkout &amp; cart</w:t>
            </w:r>
          </w:p>
        </w:tc>
        <w:tc>
          <w:tcPr>
            <w:tcW w:type="dxa" w:w="3600"/>
            <w:shd w:fill="F2F2F2" w:val="clear"/>
          </w:tcPr>
          <w:p>
            <w:r>
              <w:rPr>
                <w:b w:val="false"/>
                <w:bCs w:val="false"/>
                <w:color w:val="000000"/>
                <w:sz w:val="20"/>
                <w:szCs w:val="20"/>
              </w:rPr>
              <w:t xml:space="preserve">cart, checkout, order-confirmation, payment-success</w:t>
            </w:r>
          </w:p>
        </w:tc>
        <w:tc>
          <w:tcPr>
            <w:tcW w:type="dxa" w:w="2600"/>
            <w:shd w:fill="F2F2F2" w:val="clear"/>
          </w:tcPr>
          <w:p>
            <w:r>
              <w:rPr>
                <w:b w:val="false"/>
                <w:bCs w:val="false"/>
                <w:color w:val="000000"/>
                <w:sz w:val="20"/>
                <w:szCs w:val="20"/>
              </w:rPr>
              <w:t xml:space="preserve">Live (browse/empty-state) + code review</w:t>
            </w:r>
          </w:p>
        </w:tc>
      </w:tr>
      <w:tr>
        <w:tc>
          <w:tcPr>
            <w:tcW w:type="dxa" w:w="2800"/>
          </w:tcPr>
          <w:p>
            <w:r>
              <w:rPr>
                <w:b w:val="false"/>
                <w:bCs w:val="false"/>
                <w:color w:val="000000"/>
                <w:sz w:val="20"/>
                <w:szCs w:val="20"/>
              </w:rPr>
              <w:t xml:space="preserve">Auth</w:t>
            </w:r>
          </w:p>
        </w:tc>
        <w:tc>
          <w:tcPr>
            <w:tcW w:type="dxa" w:w="3600"/>
          </w:tcPr>
          <w:p>
            <w:r>
              <w:rPr>
                <w:b w:val="false"/>
                <w:bCs w:val="false"/>
                <w:color w:val="000000"/>
                <w:sz w:val="20"/>
                <w:szCs w:val="20"/>
              </w:rPr>
              <w:t xml:space="preserve">login, signup, partner-signup, partner-invite/[token]</w:t>
            </w:r>
          </w:p>
        </w:tc>
        <w:tc>
          <w:tcPr>
            <w:tcW w:type="dxa" w:w="2600"/>
          </w:tcPr>
          <w:p>
            <w:r>
              <w:rPr>
                <w:b w:val="false"/>
                <w:bCs w:val="false"/>
                <w:color w:val="000000"/>
                <w:sz w:val="20"/>
                <w:szCs w:val="20"/>
              </w:rPr>
              <w:t xml:space="preserve">Live (login, password reset, signup view) + code review</w:t>
            </w:r>
          </w:p>
        </w:tc>
      </w:tr>
      <w:tr>
        <w:tc>
          <w:tcPr>
            <w:tcW w:type="dxa" w:w="2800"/>
            <w:shd w:fill="F2F2F2" w:val="clear"/>
          </w:tcPr>
          <w:p>
            <w:r>
              <w:rPr>
                <w:b w:val="false"/>
                <w:bCs w:val="false"/>
                <w:color w:val="000000"/>
                <w:sz w:val="20"/>
                <w:szCs w:val="20"/>
              </w:rPr>
              <w:t xml:space="preserve">Client dashboard</w:t>
            </w:r>
          </w:p>
        </w:tc>
        <w:tc>
          <w:tcPr>
            <w:tcW w:type="dxa" w:w="3600"/>
            <w:shd w:fill="F2F2F2" w:val="clear"/>
          </w:tcPr>
          <w:p>
            <w:r>
              <w:rPr>
                <w:b w:val="false"/>
                <w:bCs w:val="false"/>
                <w:color w:val="000000"/>
                <w:sz w:val="20"/>
                <w:szCs w:val="20"/>
              </w:rPr>
              <w:t xml:space="preserve">dashboard + orders, profile, subscriptions, talent-profile</w:t>
            </w:r>
          </w:p>
        </w:tc>
        <w:tc>
          <w:tcPr>
            <w:tcW w:type="dxa" w:w="2600"/>
            <w:shd w:fill="F2F2F2" w:val="clear"/>
          </w:tcPr>
          <w:p>
            <w:r>
              <w:rPr>
                <w:b w:val="false"/>
                <w:bCs w:val="false"/>
                <w:color w:val="000000"/>
                <w:sz w:val="20"/>
                <w:szCs w:val="20"/>
              </w:rPr>
              <w:t xml:space="preserve">Code review (prior sessions)</w:t>
            </w:r>
          </w:p>
        </w:tc>
      </w:tr>
      <w:tr>
        <w:tc>
          <w:tcPr>
            <w:tcW w:type="dxa" w:w="2800"/>
          </w:tcPr>
          <w:p>
            <w:r>
              <w:rPr>
                <w:b w:val="false"/>
                <w:bCs w:val="false"/>
                <w:color w:val="000000"/>
                <w:sz w:val="20"/>
                <w:szCs w:val="20"/>
              </w:rPr>
              <w:t xml:space="preserve">Admin / staff</w:t>
            </w:r>
          </w:p>
        </w:tc>
        <w:tc>
          <w:tcPr>
            <w:tcW w:type="dxa" w:w="3600"/>
          </w:tcPr>
          <w:p>
            <w:r>
              <w:rPr>
                <w:b w:val="false"/>
                <w:bCs w:val="false"/>
                <w:color w:val="000000"/>
                <w:sz w:val="20"/>
                <w:szCs w:val="20"/>
              </w:rPr>
              <w:t xml:space="preserve">~60 routes (orders, clients, services, staff, settings, SEO, media, etc.)</w:t>
            </w:r>
          </w:p>
        </w:tc>
        <w:tc>
          <w:tcPr>
            <w:tcW w:type="dxa" w:w="2600"/>
          </w:tcPr>
          <w:p>
            <w:r>
              <w:rPr>
                <w:b w:val="false"/>
                <w:bCs w:val="false"/>
                <w:color w:val="000000"/>
                <w:sz w:val="20"/>
                <w:szCs w:val="20"/>
              </w:rPr>
              <w:t xml:space="preserve">Code review; live access-control check</w:t>
            </w:r>
          </w:p>
        </w:tc>
      </w:tr>
      <w:tr>
        <w:tc>
          <w:tcPr>
            <w:tcW w:type="dxa" w:w="2800"/>
            <w:shd w:fill="F2F2F2" w:val="clear"/>
          </w:tcPr>
          <w:p>
            <w:r>
              <w:rPr>
                <w:b w:val="false"/>
                <w:bCs w:val="false"/>
                <w:color w:val="000000"/>
                <w:sz w:val="20"/>
                <w:szCs w:val="20"/>
              </w:rPr>
              <w:t xml:space="preserve">AI Accountant</w:t>
            </w:r>
          </w:p>
        </w:tc>
        <w:tc>
          <w:tcPr>
            <w:tcW w:type="dxa" w:w="3600"/>
            <w:shd w:fill="F2F2F2" w:val="clear"/>
          </w:tcPr>
          <w:p>
            <w:r>
              <w:rPr>
                <w:b w:val="false"/>
                <w:bCs w:val="false"/>
                <w:color w:val="000000"/>
                <w:sz w:val="20"/>
                <w:szCs w:val="20"/>
              </w:rPr>
              <w:t xml:space="preserve">~30 routes × 3 portals (admin/dashboard/partner)</w:t>
            </w:r>
          </w:p>
        </w:tc>
        <w:tc>
          <w:tcPr>
            <w:tcW w:type="dxa" w:w="2600"/>
            <w:shd w:fill="F2F2F2" w:val="clear"/>
          </w:tcPr>
          <w:p>
            <w:r>
              <w:rPr>
                <w:b w:val="false"/>
                <w:bCs w:val="false"/>
                <w:color w:val="000000"/>
                <w:sz w:val="20"/>
                <w:szCs w:val="20"/>
              </w:rPr>
              <w:t xml:space="preserve">Deep code review (dedicated prior audit)</w:t>
            </w:r>
          </w:p>
        </w:tc>
      </w:tr>
      <w:tr>
        <w:tc>
          <w:tcPr>
            <w:tcW w:type="dxa" w:w="2800"/>
          </w:tcPr>
          <w:p>
            <w:r>
              <w:rPr>
                <w:b w:val="false"/>
                <w:bCs w:val="false"/>
                <w:color w:val="000000"/>
                <w:sz w:val="20"/>
                <w:szCs w:val="20"/>
              </w:rPr>
              <w:t xml:space="preserve">AI Payroll</w:t>
            </w:r>
          </w:p>
        </w:tc>
        <w:tc>
          <w:tcPr>
            <w:tcW w:type="dxa" w:w="3600"/>
          </w:tcPr>
          <w:p>
            <w:r>
              <w:rPr>
                <w:b w:val="false"/>
                <w:bCs w:val="false"/>
                <w:color w:val="000000"/>
                <w:sz w:val="20"/>
                <w:szCs w:val="20"/>
              </w:rPr>
              <w:t xml:space="preserve">~9 routes × 2 portals (admin/dashboard)</w:t>
            </w:r>
          </w:p>
        </w:tc>
        <w:tc>
          <w:tcPr>
            <w:tcW w:type="dxa" w:w="2600"/>
          </w:tcPr>
          <w:p>
            <w:r>
              <w:rPr>
                <w:b w:val="false"/>
                <w:bCs w:val="false"/>
                <w:color w:val="000000"/>
                <w:sz w:val="20"/>
                <w:szCs w:val="20"/>
              </w:rPr>
              <w:t xml:space="preserve">Code review (structural pass)</w:t>
            </w:r>
          </w:p>
        </w:tc>
      </w:tr>
      <w:tr>
        <w:tc>
          <w:tcPr>
            <w:tcW w:type="dxa" w:w="2800"/>
            <w:shd w:fill="F2F2F2" w:val="clear"/>
          </w:tcPr>
          <w:p>
            <w:r>
              <w:rPr>
                <w:b w:val="false"/>
                <w:bCs w:val="false"/>
                <w:color w:val="000000"/>
                <w:sz w:val="20"/>
                <w:szCs w:val="20"/>
              </w:rPr>
              <w:t xml:space="preserve">Partner portal</w:t>
            </w:r>
          </w:p>
        </w:tc>
        <w:tc>
          <w:tcPr>
            <w:tcW w:type="dxa" w:w="3600"/>
            <w:shd w:fill="F2F2F2" w:val="clear"/>
          </w:tcPr>
          <w:p>
            <w:r>
              <w:rPr>
                <w:b w:val="false"/>
                <w:bCs w:val="false"/>
                <w:color w:val="000000"/>
                <w:sz w:val="20"/>
                <w:szCs w:val="20"/>
              </w:rPr>
              <w:t xml:space="preserve">~20 routes (clients, staff, orders, community, tools)</w:t>
            </w:r>
          </w:p>
        </w:tc>
        <w:tc>
          <w:tcPr>
            <w:tcW w:type="dxa" w:w="2600"/>
            <w:shd w:fill="F2F2F2" w:val="clear"/>
          </w:tcPr>
          <w:p>
            <w:r>
              <w:rPr>
                <w:b w:val="false"/>
                <w:bCs w:val="false"/>
                <w:color w:val="000000"/>
                <w:sz w:val="20"/>
                <w:szCs w:val="20"/>
              </w:rPr>
              <w:t xml:space="preserve">Deep code review (dedicated prior audit)</w:t>
            </w:r>
          </w:p>
        </w:tc>
      </w:tr>
      <w:tr>
        <w:tc>
          <w:tcPr>
            <w:tcW w:type="dxa" w:w="2800"/>
          </w:tcPr>
          <w:p>
            <w:r>
              <w:rPr>
                <w:b w:val="false"/>
                <w:bCs w:val="false"/>
                <w:color w:val="000000"/>
                <w:sz w:val="20"/>
                <w:szCs w:val="20"/>
              </w:rPr>
              <w:t xml:space="preserve">Reseller portal</w:t>
            </w:r>
          </w:p>
        </w:tc>
        <w:tc>
          <w:tcPr>
            <w:tcW w:type="dxa" w:w="3600"/>
          </w:tcPr>
          <w:p>
            <w:r>
              <w:rPr>
                <w:b w:val="false"/>
                <w:bCs w:val="false"/>
                <w:color w:val="000000"/>
                <w:sz w:val="20"/>
                <w:szCs w:val="20"/>
              </w:rPr>
              <w:t xml:space="preserve">2 routes</w:t>
            </w:r>
          </w:p>
        </w:tc>
        <w:tc>
          <w:tcPr>
            <w:tcW w:type="dxa" w:w="2600"/>
          </w:tcPr>
          <w:p>
            <w:r>
              <w:rPr>
                <w:b w:val="false"/>
                <w:bCs w:val="false"/>
                <w:color w:val="000000"/>
                <w:sz w:val="20"/>
                <w:szCs w:val="20"/>
              </w:rPr>
              <w:t xml:space="preserve">Code review</w:t>
            </w:r>
          </w:p>
        </w:tc>
      </w:tr>
    </w:tbl>
    <w:p>
      <w:pPr>
        <w:pStyle w:val="Heading1"/>
        <w:spacing w:after="160" w:before="360"/>
      </w:pPr>
      <w:r>
        <w:t xml:space="preserve">User Journeys Tested</w:t>
      </w:r>
    </w:p>
    <w:p>
      <w:pPr>
        <w:pStyle w:val="ListParagraph"/>
        <w:numPr>
          <w:ilvl w:val="0"/>
          <w:numId w:val="1"/>
        </w:numPr>
        <w:spacing w:after="80"/>
      </w:pPr>
      <w:r>
        <w:t xml:space="preserve">New visitor → browse services → view product detail → add to cart → reach checkout with populated order summary (live, stopped short of payment submission).</w:t>
      </w:r>
    </w:p>
    <w:p>
      <w:pPr>
        <w:pStyle w:val="ListParagraph"/>
        <w:numPr>
          <w:ilvl w:val="0"/>
          <w:numId w:val="1"/>
        </w:numPr>
        <w:spacing w:after="80"/>
      </w:pPr>
      <w:r>
        <w:t xml:space="preserve">New visitor → empty cart → checkout page correctly blocks with a clear message and a way back to products.</w:t>
      </w:r>
    </w:p>
    <w:p>
      <w:pPr>
        <w:pStyle w:val="ListParagraph"/>
        <w:numPr>
          <w:ilvl w:val="0"/>
          <w:numId w:val="1"/>
        </w:numPr>
        <w:spacing w:after="80"/>
      </w:pPr>
      <w:r>
        <w:t xml:space="preserve">Returning user → login page → forgot password → reset dialog → generic, non-enumerating confirmation message.</w:t>
      </w:r>
    </w:p>
    <w:p>
      <w:pPr>
        <w:pStyle w:val="ListParagraph"/>
        <w:numPr>
          <w:ilvl w:val="0"/>
          <w:numId w:val="1"/>
        </w:numPr>
        <w:spacing w:after="80"/>
      </w:pPr>
      <w:r>
        <w:t xml:space="preserve">Unauthenticated user → direct URL entry to /admin/dashboard → redirected to login rather than shown protected content.</w:t>
      </w:r>
    </w:p>
    <w:p>
      <w:pPr>
        <w:pStyle w:val="ListParagraph"/>
        <w:numPr>
          <w:ilvl w:val="0"/>
          <w:numId w:val="1"/>
        </w:numPr>
        <w:spacing w:after="80"/>
      </w:pPr>
      <w:r>
        <w:t xml:space="preserve">Visitor → mistyped/removed URL → default 404 page (dead end, see findings).</w:t>
      </w:r>
    </w:p>
    <w:p>
      <w:pPr>
        <w:pStyle w:val="ListParagraph"/>
        <w:numPr>
          <w:ilvl w:val="0"/>
          <w:numId w:val="1"/>
        </w:numPr>
        <w:spacing w:after="80"/>
      </w:pPr>
      <w:r>
        <w:t xml:space="preserve">Partner → become-a-partner → partner-signup (two-step form, code review) → account created via client-side write.</w:t>
      </w:r>
    </w:p>
    <w:p>
      <w:pPr>
        <w:pStyle w:val="ListParagraph"/>
        <w:numPr>
          <w:ilvl w:val="0"/>
          <w:numId w:val="1"/>
        </w:numPr>
        <w:spacing w:after="80"/>
      </w:pPr>
      <w:r>
        <w:t xml:space="preserve">Partner → invite staff member → staff receives 72-hour token link → creates account (code review, from prior audit).</w:t>
      </w:r>
    </w:p>
    <w:p>
      <w:pPr>
        <w:pStyle w:val="ListParagraph"/>
        <w:numPr>
          <w:ilvl w:val="0"/>
          <w:numId w:val="1"/>
        </w:numPr>
        <w:spacing w:after="80"/>
      </w:pPr>
      <w:r>
        <w:t xml:space="preserve">Staff/admin → AI Accountant bank statement import → AI allocation pipeline → review/allocate transactions (code review, from prior audit).</w:t>
      </w:r>
    </w:p>
    <w:p>
      <w:pPr>
        <w:pStyle w:val="ListParagraph"/>
        <w:numPr>
          <w:ilvl w:val="0"/>
          <w:numId w:val="1"/>
        </w:numPr>
        <w:spacing w:after="80"/>
      </w:pPr>
      <w:r>
        <w:t xml:space="preserve">Partner → "Manage Client" on their own AI Accountant client list → dashboard redirect chain (code review, from prior audit — confirmed dead end).</w:t>
      </w:r>
    </w:p>
    <w:p>
      <w:pPr>
        <w:pStyle w:val="Heading1"/>
        <w:spacing w:after="160" w:before="360"/>
      </w:pPr>
      <w:r>
        <w:t xml:space="preserve">Critical Issues</w:t>
      </w:r>
    </w:p>
    <w:p>
      <w:pPr>
        <w:spacing w:after="140"/>
      </w:pPr>
      <w:r>
        <w:t xml:space="preserve">Broken functionality, security/permission problems, or workflows that cannot be completed as designed.</w:t>
      </w:r>
    </w:p>
    <w:p>
      <w:pPr>
        <w:spacing w:after="80" w:before="200"/>
      </w:pPr>
      <w:r>
        <w:rPr>
          <w:b/>
          <w:bCs/>
          <w:color w:val="C00000"/>
        </w:rPr>
        <w:t xml:space="preserve">[CRITICAL] </w:t>
      </w:r>
      <w:r>
        <w:rPr>
          <w:b/>
          <w:bCs/>
        </w:rPr>
        <w:t xml:space="preserve">Any authenticated user can rewrite their own account role</w:t>
      </w:r>
    </w:p>
    <w:p>
      <w:pPr>
        <w:spacing w:after="60"/>
      </w:pPr>
      <w:r>
        <w:rPr>
          <w:b/>
          <w:bCs/>
        </w:rPr>
        <w:t xml:space="preserve">Location: </w:t>
      </w:r>
      <w:r>
        <w:t xml:space="preserve">firestore.rules, /users/{userId} write rule (line ~62)</w:t>
      </w:r>
    </w:p>
    <w:p>
      <w:pPr>
        <w:spacing w:after="60"/>
      </w:pPr>
      <w:r>
        <w:rPr>
          <w:b/>
          <w:bCs/>
        </w:rPr>
        <w:t xml:space="preserve">Problem: </w:t>
      </w:r>
      <w:r>
        <w:t xml:space="preserve">The rule allows write access whenever request.auth.uid == userId, with no restriction on which fields that self-write can touch. Both the self-serve partner signup and the staff-invite acceptance flow rely on this to let a new user set role: 'partner' or role: 'partner_staff' on their own document — but nothing stops the same call from setting role: 'admin' instead.</w:t>
      </w:r>
    </w:p>
    <w:p>
      <w:pPr>
        <w:spacing w:after="60"/>
      </w:pPr>
      <w:r>
        <w:rPr>
          <w:b/>
          <w:bCs/>
        </w:rPr>
        <w:t xml:space="preserve">User impact: </w:t>
      </w:r>
      <w:r>
        <w:t xml:space="preserve">Any signed-in user — including a brand-new client account — can open the browser console and grant themselves administrator access to the entire platform.</w:t>
      </w:r>
    </w:p>
    <w:p>
      <w:pPr>
        <w:spacing w:after="60"/>
      </w:pPr>
      <w:r>
        <w:rPr>
          <w:b/>
          <w:bCs/>
        </w:rPr>
        <w:t xml:space="preserve">Recommended solution: </w:t>
      </w:r>
      <w:r>
        <w:t xml:space="preserve">Restrict client self-writes on /users/{userId} to non-privileged fields (name, contact details, etc.). Move role, permissions, creditBalance, and partnerSubscription changes into a server action using the Admin SDK that validates the transition.</w:t>
      </w:r>
    </w:p>
    <w:p>
      <w:pPr>
        <w:spacing w:after="60"/>
      </w:pPr>
      <w:r>
        <w:rPr>
          <w:b/>
          <w:bCs/>
        </w:rPr>
        <w:t xml:space="preserve">Implementation risk: </w:t>
      </w:r>
      <w:r>
        <w:t xml:space="preserve">Medium — requires careful rule-testing to avoid breaking legitimate self-service writes, but is a contained, well-understood change.</w:t>
      </w:r>
    </w:p>
    <w:p>
      <w:pPr>
        <w:spacing w:after="80" w:before="200"/>
      </w:pPr>
      <w:r>
        <w:rPr>
          <w:b/>
          <w:bCs/>
          <w:color w:val="C00000"/>
        </w:rPr>
        <w:t xml:space="preserve">[CRITICAL] </w:t>
      </w:r>
      <w:r>
        <w:rPr>
          <w:b/>
          <w:bCs/>
        </w:rPr>
        <w:t xml:space="preserve">AI Accountant financial actions trust caller-supplied client ID with no ownership check</w:t>
      </w:r>
    </w:p>
    <w:p>
      <w:pPr>
        <w:spacing w:after="60"/>
      </w:pPr>
      <w:r>
        <w:rPr>
          <w:b/>
          <w:bCs/>
        </w:rPr>
        <w:t xml:space="preserve">Location: </w:t>
      </w:r>
      <w:r>
        <w:t xml:space="preserve">src/app/actions/ai-recon.ts (runAiAccountantAnalysis, researchMerchantWithAi, finalizeChatAllocation, and others)</w:t>
      </w:r>
    </w:p>
    <w:p>
      <w:pPr>
        <w:spacing w:after="60"/>
      </w:pPr>
      <w:r>
        <w:rPr>
          <w:b/>
          <w:bCs/>
        </w:rPr>
        <w:t xml:space="preserve">Problem: </w:t>
      </w:r>
      <w:r>
        <w:t xml:space="preserve">These Server Actions use the Firebase Admin SDK, which bypasses Firestore security rules, and take a clientId argument with no verification that the calling user has any relationship to that client. Only 1 of 23 files in the actions/ directory calls the existing getAuthContext helper.</w:t>
      </w:r>
    </w:p>
    <w:p>
      <w:pPr>
        <w:spacing w:after="60"/>
      </w:pPr>
      <w:r>
        <w:rPr>
          <w:b/>
          <w:bCs/>
        </w:rPr>
        <w:t xml:space="preserve">User impact: </w:t>
      </w:r>
      <w:r>
        <w:t xml:space="preserve">A caller could read or rewrite another accounting practice's bank transactions, allocations, or supplier data by supplying a different client ID.</w:t>
      </w:r>
    </w:p>
    <w:p>
      <w:pPr>
        <w:spacing w:after="60"/>
      </w:pPr>
      <w:r>
        <w:rPr>
          <w:b/>
          <w:bCs/>
        </w:rPr>
        <w:t xml:space="preserve">Recommended solution: </w:t>
      </w:r>
      <w:r>
        <w:t xml:space="preserve">Add an ownership/authorization check (existing verifyPartnerAccess / getAuthContext helpers) to every Admin-SDK action that accepts a clientId or partnerId.</w:t>
      </w:r>
    </w:p>
    <w:p>
      <w:pPr>
        <w:spacing w:after="60"/>
      </w:pPr>
      <w:r>
        <w:rPr>
          <w:b/>
          <w:bCs/>
        </w:rPr>
        <w:t xml:space="preserve">Implementation risk: </w:t>
      </w:r>
      <w:r>
        <w:t xml:space="preserve">Low-to-medium — additive checks, but must be applied consistently across ~15 action functions.</w:t>
      </w:r>
    </w:p>
    <w:p>
      <w:pPr>
        <w:spacing w:after="80" w:before="200"/>
      </w:pPr>
      <w:r>
        <w:rPr>
          <w:b/>
          <w:bCs/>
          <w:color w:val="C00000"/>
        </w:rPr>
        <w:t xml:space="preserve">[CRITICAL] </w:t>
      </w:r>
      <w:r>
        <w:rPr>
          <w:b/>
          <w:bCs/>
        </w:rPr>
        <w:t xml:space="preserve">Live production secrets committed in plaintext to a tracked, pushed file</w:t>
      </w:r>
    </w:p>
    <w:p>
      <w:pPr>
        <w:spacing w:after="60"/>
      </w:pPr>
      <w:r>
        <w:rPr>
          <w:b/>
          <w:bCs/>
        </w:rPr>
        <w:t xml:space="preserve">Location: </w:t>
      </w:r>
      <w:r>
        <w:t xml:space="preserve">apphosting.yaml (tracked in git, pushed to github.com/Kevinfreese10/Website)</w:t>
      </w:r>
    </w:p>
    <w:p>
      <w:pPr>
        <w:spacing w:after="60"/>
      </w:pPr>
      <w:r>
        <w:rPr>
          <w:b/>
          <w:bCs/>
        </w:rPr>
        <w:t xml:space="preserve">Problem: </w:t>
      </w:r>
      <w:r>
        <w:t xml:space="preserve">Contains the live Gemini API key, PayFast passphrase, and SMTP password in plaintext. The same SMTP password is duplicated in src/lib/data.ts and ships inside the app bundle.</w:t>
      </w:r>
    </w:p>
    <w:p>
      <w:pPr>
        <w:spacing w:after="60"/>
      </w:pPr>
      <w:r>
        <w:rPr>
          <w:b/>
          <w:bCs/>
        </w:rPr>
        <w:t xml:space="preserve">User impact: </w:t>
      </w:r>
      <w:r>
        <w:t xml:space="preserve">Not user-facing directly, but these credentials should be treated as already compromised — anyone with current or historical repo access has them.</w:t>
      </w:r>
    </w:p>
    <w:p>
      <w:pPr>
        <w:spacing w:after="60"/>
      </w:pPr>
      <w:r>
        <w:rPr>
          <w:b/>
          <w:bCs/>
        </w:rPr>
        <w:t xml:space="preserve">Recommended solution: </w:t>
      </w:r>
      <w:r>
        <w:t xml:space="preserve">Rotate all three credentials immediately; move them to Firebase App Hosting secret manager; remove the hardcoded copy in data.ts.</w:t>
      </w:r>
    </w:p>
    <w:p>
      <w:pPr>
        <w:spacing w:after="60"/>
      </w:pPr>
      <w:r>
        <w:rPr>
          <w:b/>
          <w:bCs/>
        </w:rPr>
        <w:t xml:space="preserve">Implementation risk: </w:t>
      </w:r>
      <w:r>
        <w:t xml:space="preserve">Low — credential rotation plus a config change; no application logic changes needed.</w:t>
      </w:r>
    </w:p>
    <w:p>
      <w:pPr>
        <w:spacing w:after="80" w:before="200"/>
      </w:pPr>
      <w:r>
        <w:rPr>
          <w:b/>
          <w:bCs/>
          <w:color w:val="C00000"/>
        </w:rPr>
        <w:t xml:space="preserve">[CRITICAL] </w:t>
      </w:r>
      <w:r>
        <w:rPr>
          <w:b/>
          <w:bCs/>
        </w:rPr>
        <w:t xml:space="preserve">Several admin/debug API routes are effectively unauthenticated</w:t>
      </w:r>
    </w:p>
    <w:p>
      <w:pPr>
        <w:spacing w:after="60"/>
      </w:pPr>
      <w:r>
        <w:rPr>
          <w:b/>
          <w:bCs/>
        </w:rPr>
        <w:t xml:space="preserve">Location: </w:t>
      </w:r>
      <w:r>
        <w:t xml:space="preserve">api/admin/send-email, api/debug-env, api/debug-email, api/cron/process-chats, and three "ADMIN_SECRET-protected" routes with a logic bug that skips the check when the secret is unset (which it is)</w:t>
      </w:r>
    </w:p>
    <w:p>
      <w:pPr>
        <w:spacing w:after="60"/>
      </w:pPr>
      <w:r>
        <w:rPr>
          <w:b/>
          <w:bCs/>
        </w:rPr>
        <w:t xml:space="preserve">Problem: </w:t>
      </w:r>
      <w:r>
        <w:t xml:space="preserve">No working authentication gate. debug-env writes partial SMTP credential data to Firestore on every unauthenticated call; send-email is an open relay through the practice's own mailbox.</w:t>
      </w:r>
    </w:p>
    <w:p>
      <w:pPr>
        <w:spacing w:after="60"/>
      </w:pPr>
      <w:r>
        <w:rPr>
          <w:b/>
          <w:bCs/>
        </w:rPr>
        <w:t xml:space="preserve">User impact: </w:t>
      </w:r>
      <w:r>
        <w:t xml:space="preserve">Not directly user-facing, but exposes cost-abuse, spam, and information-disclosure risk.</w:t>
      </w:r>
    </w:p>
    <w:p>
      <w:pPr>
        <w:spacing w:after="60"/>
      </w:pPr>
      <w:r>
        <w:rPr>
          <w:b/>
          <w:bCs/>
        </w:rPr>
        <w:t xml:space="preserve">Recommended solution: </w:t>
      </w:r>
      <w:r>
        <w:t xml:space="preserve">Set a real ADMIN_SECRET and fix the bypass logic; delete or auth-gate the two debug routes; add a CRON_SECRET check to the cron route.</w:t>
      </w:r>
    </w:p>
    <w:p>
      <w:pPr>
        <w:spacing w:after="60"/>
      </w:pPr>
      <w:r>
        <w:rPr>
          <w:b/>
          <w:bCs/>
        </w:rPr>
        <w:t xml:space="preserve">Implementation risk: </w:t>
      </w:r>
      <w:r>
        <w:t xml:space="preserve">Low.</w:t>
      </w:r>
    </w:p>
    <w:p>
      <w:pPr>
        <w:spacing w:after="80" w:before="200"/>
      </w:pPr>
      <w:r>
        <w:rPr>
          <w:b/>
          <w:bCs/>
          <w:color w:val="C00000"/>
        </w:rPr>
        <w:t xml:space="preserve">[CRITICAL] </w:t>
      </w:r>
      <w:r>
        <w:rPr>
          <w:b/>
          <w:bCs/>
        </w:rPr>
        <w:t xml:space="preserve">Partner self-service AI Accountant flow dead-ends at the login wall</w:t>
      </w:r>
    </w:p>
    <w:p>
      <w:pPr>
        <w:spacing w:after="60"/>
      </w:pPr>
      <w:r>
        <w:rPr>
          <w:b/>
          <w:bCs/>
        </w:rPr>
        <w:t xml:space="preserve">Location: </w:t>
      </w:r>
      <w:r>
        <w:t xml:space="preserve">/dashboard/ai-accountant/[clientId]/* (redirect stubs) → /admin layout role guard</w:t>
      </w:r>
    </w:p>
    <w:p>
      <w:pPr>
        <w:spacing w:after="60"/>
      </w:pPr>
      <w:r>
        <w:rPr>
          <w:b/>
          <w:bCs/>
        </w:rPr>
        <w:t xml:space="preserve">Problem: </w:t>
      </w:r>
      <w:r>
        <w:t xml:space="preserve">Every dashboard-portal AI Accountant page redirects into the equivalent /admin/ai-accountant/... URL, but the admin layout only allows admin/staff roles through, not partner. The "Manage Client" link on a partner's own client list points at this exact dead-end chain.</w:t>
      </w:r>
    </w:p>
    <w:p>
      <w:pPr>
        <w:spacing w:after="60"/>
      </w:pPr>
      <w:r>
        <w:rPr>
          <w:b/>
          <w:bCs/>
        </w:rPr>
        <w:t xml:space="preserve">User impact: </w:t>
      </w:r>
      <w:r>
        <w:t xml:space="preserve">Partners paying R140–950/month for this add-on cannot actually use it through the navigation the product provides them; they land on /login.</w:t>
      </w:r>
    </w:p>
    <w:p>
      <w:pPr>
        <w:spacing w:after="60"/>
      </w:pPr>
      <w:r>
        <w:rPr>
          <w:b/>
          <w:bCs/>
        </w:rPr>
        <w:t xml:space="preserve">Recommended solution: </w:t>
      </w:r>
      <w:r>
        <w:t xml:space="preserve">Decide whether this module is partner-self-service or staff-run-on-behalf-of; either fix the redirect/role gate to admit partner roles, or update the partner-facing UI to stop promising a workflow that doesn't work.</w:t>
      </w:r>
    </w:p>
    <w:p>
      <w:pPr>
        <w:spacing w:after="60"/>
      </w:pPr>
      <w:r>
        <w:rPr>
          <w:b/>
          <w:bCs/>
        </w:rPr>
        <w:t xml:space="preserve">Implementation risk: </w:t>
      </w:r>
      <w:r>
        <w:t xml:space="preserve">Medium — depends on the product decision; the routing fix itself is small.</w:t>
      </w:r>
    </w:p>
    <w:p>
      <w:pPr>
        <w:pStyle w:val="Heading1"/>
        <w:spacing w:after="160" w:before="360"/>
      </w:pPr>
      <w:r>
        <w:t xml:space="preserve">High-Priority Improvements</w:t>
      </w:r>
    </w:p>
    <w:p>
      <w:pPr>
        <w:spacing w:after="140"/>
      </w:pPr>
      <w:r>
        <w:t xml:space="preserve">Major usability problems or incorrect behavior that should be addressed soon but don't block a core workflow outright.</w:t>
      </w:r>
    </w:p>
    <w:p>
      <w:pPr>
        <w:spacing w:after="80" w:before="200"/>
      </w:pPr>
      <w:r>
        <w:rPr>
          <w:b/>
          <w:bCs/>
          <w:color w:val="E36C0A"/>
        </w:rPr>
        <w:t xml:space="preserve">[HIGH] </w:t>
      </w:r>
      <w:r>
        <w:rPr>
          <w:b/>
          <w:bCs/>
        </w:rPr>
        <w:t xml:space="preserve">Primary navigation dropdowns are overloaded and hard to scan</w:t>
      </w:r>
    </w:p>
    <w:p>
      <w:pPr>
        <w:spacing w:after="60"/>
      </w:pPr>
      <w:r>
        <w:rPr>
          <w:b/>
          <w:bCs/>
        </w:rPr>
        <w:t xml:space="preserve">Location: </w:t>
      </w:r>
      <w:r>
        <w:t xml:space="preserve">src/components/layout/Header.tsx, navGroups array</w:t>
      </w:r>
    </w:p>
    <w:p>
      <w:pPr>
        <w:spacing w:after="60"/>
      </w:pPr>
      <w:r>
        <w:rPr>
          <w:b/>
          <w:bCs/>
        </w:rPr>
        <w:t xml:space="preserve">Problem: </w:t>
      </w:r>
      <w:r>
        <w:t xml:space="preserve">"Accounting" has 26 items, "SARS Services" has 20+, "Tax" has 14 — flat, unsectioned lists mixing core services (Bookkeeping, Financial Statements) with over a dozen near-duplicate city pages (Accountant Johannesburg/Pretoria/Cape Town/Durban/Randburg/Sandton/Fourways/Bryanston/Centurion/...) and software-specific pages (Xero/Sage/Zoho/Pastel). The dropdown is capped at max-h-[80vh] and scrolls internally — confirmed live, the list requires scrolling within the menu on a standard viewport.</w:t>
      </w:r>
    </w:p>
    <w:p>
      <w:pPr>
        <w:spacing w:after="60"/>
      </w:pPr>
      <w:r>
        <w:rPr>
          <w:b/>
          <w:bCs/>
        </w:rPr>
        <w:t xml:space="preserve">User impact: </w:t>
      </w:r>
      <w:r>
        <w:t xml:space="preserve">A visitor looking for "Bookkeeping" has to scan past two dozen unrelated entries; the menu reads as a sitemap dump rather than navigation.</w:t>
      </w:r>
    </w:p>
    <w:p>
      <w:pPr>
        <w:spacing w:after="60"/>
      </w:pPr>
      <w:r>
        <w:rPr>
          <w:b/>
          <w:bCs/>
        </w:rPr>
        <w:t xml:space="preserve">Recommended solution: </w:t>
      </w:r>
      <w:r>
        <w:t xml:space="preserve">Split each mega-dropdown into sub-groups (e.g., core services vs. "by city" vs. "by software"), or move the long-tail city/software pages out of primary nav entirely and rely on footer/sitemap + internal linking for that SEO traffic, which is what they're actually for.</w:t>
      </w:r>
    </w:p>
    <w:p>
      <w:pPr>
        <w:spacing w:after="60"/>
      </w:pPr>
      <w:r>
        <w:rPr>
          <w:b/>
          <w:bCs/>
        </w:rPr>
        <w:t xml:space="preserve">Implementation risk: </w:t>
      </w:r>
      <w:r>
        <w:t xml:space="preserve">Low-to-medium — presentation-layer change, no data model impact. This is flagged despite the "no major design changes" instruction because it is a functional navigability problem, not a cosmetic one.</w:t>
      </w:r>
    </w:p>
    <w:p>
      <w:pPr>
        <w:spacing w:after="80" w:before="200"/>
      </w:pPr>
      <w:r>
        <w:rPr>
          <w:b/>
          <w:bCs/>
          <w:color w:val="E36C0A"/>
        </w:rPr>
        <w:t xml:space="preserve">[HIGH] </w:t>
      </w:r>
      <w:r>
        <w:rPr>
          <w:b/>
          <w:bCs/>
        </w:rPr>
        <w:t xml:space="preserve">Server actions across partner features trust caller-supplied IDs</w:t>
      </w:r>
    </w:p>
    <w:p>
      <w:pPr>
        <w:spacing w:after="60"/>
      </w:pPr>
      <w:r>
        <w:rPr>
          <w:b/>
          <w:bCs/>
        </w:rPr>
        <w:t xml:space="preserve">Location: </w:t>
      </w:r>
      <w:r>
        <w:t xml:space="preserve">sendStaffInvite, savePartnerLead, getPartnerLeads (src/app/actions/staff.ts, partnerLeads.ts)</w:t>
      </w:r>
    </w:p>
    <w:p>
      <w:pPr>
        <w:spacing w:after="60"/>
      </w:pPr>
      <w:r>
        <w:rPr>
          <w:b/>
          <w:bCs/>
        </w:rPr>
        <w:t xml:space="preserve">Problem: </w:t>
      </w:r>
      <w:r>
        <w:t xml:space="preserve">Same pattern as the AI Accountant finding above — a partnerId argument is trusted with no verification the caller owns it.</w:t>
      </w:r>
    </w:p>
    <w:p>
      <w:pPr>
        <w:spacing w:after="60"/>
      </w:pPr>
      <w:r>
        <w:rPr>
          <w:b/>
          <w:bCs/>
        </w:rPr>
        <w:t xml:space="preserve">User impact: </w:t>
      </w:r>
      <w:r>
        <w:t xml:space="preserve">A caller could read another practice's leads or send staff invites under another partner's identity.</w:t>
      </w:r>
    </w:p>
    <w:p>
      <w:pPr>
        <w:spacing w:after="60"/>
      </w:pPr>
      <w:r>
        <w:rPr>
          <w:b/>
          <w:bCs/>
        </w:rPr>
        <w:t xml:space="preserve">Recommended solution: </w:t>
      </w:r>
      <w:r>
        <w:t xml:space="preserve">Add the same ownership check pattern recommended above.</w:t>
      </w:r>
    </w:p>
    <w:p>
      <w:pPr>
        <w:spacing w:after="60"/>
      </w:pPr>
      <w:r>
        <w:rPr>
          <w:b/>
          <w:bCs/>
        </w:rPr>
        <w:t xml:space="preserve">Implementation risk: </w:t>
      </w:r>
      <w:r>
        <w:t xml:space="preserve">Low.</w:t>
      </w:r>
    </w:p>
    <w:p>
      <w:pPr>
        <w:spacing w:after="80" w:before="200"/>
      </w:pPr>
      <w:r>
        <w:rPr>
          <w:b/>
          <w:bCs/>
          <w:color w:val="E36C0A"/>
        </w:rPr>
        <w:t xml:space="preserve">[HIGH] </w:t>
      </w:r>
      <w:r>
        <w:rPr>
          <w:b/>
          <w:bCs/>
        </w:rPr>
        <w:t xml:space="preserve">Generic, unbranded 404 page</w:t>
      </w:r>
    </w:p>
    <w:p>
      <w:pPr>
        <w:spacing w:after="60"/>
      </w:pPr>
      <w:r>
        <w:rPr>
          <w:b/>
          <w:bCs/>
        </w:rPr>
        <w:t xml:space="preserve">Location: </w:t>
      </w:r>
      <w:r>
        <w:t xml:space="preserve">Default Next.js not-found page</w:t>
      </w:r>
    </w:p>
    <w:p>
      <w:pPr>
        <w:spacing w:after="60"/>
      </w:pPr>
      <w:r>
        <w:rPr>
          <w:b/>
          <w:bCs/>
        </w:rPr>
        <w:t xml:space="preserve">Problem: </w:t>
      </w:r>
      <w:r>
        <w:t xml:space="preserve">Confirmed live: navigating to a nonexistent URL shows plain "404 | This page could not be found" with no site styling beyond the header, no suggested pages, no search, no "back to homepage" call to action.</w:t>
      </w:r>
    </w:p>
    <w:p>
      <w:pPr>
        <w:spacing w:after="60"/>
      </w:pPr>
      <w:r>
        <w:rPr>
          <w:b/>
          <w:bCs/>
        </w:rPr>
        <w:t xml:space="preserve">User impact: </w:t>
      </w:r>
      <w:r>
        <w:t xml:space="preserve">On a 280-route site with many long-tail SEO pages (prone to being renamed, mistyped, or deep-linked from stale search results — 12 such 404s are already logged in errors.json), this is a dead end exactly where the audit brief asked to look for one.</w:t>
      </w:r>
    </w:p>
    <w:p>
      <w:pPr>
        <w:spacing w:after="60"/>
      </w:pPr>
      <w:r>
        <w:rPr>
          <w:b/>
          <w:bCs/>
        </w:rPr>
        <w:t xml:space="preserve">Recommended solution: </w:t>
      </w:r>
      <w:r>
        <w:t xml:space="preserve">Build a branded 404 with primary nav, a search or "browse services" CTA, and 2–3 popular-page suggestions.</w:t>
      </w:r>
    </w:p>
    <w:p>
      <w:pPr>
        <w:spacing w:after="60"/>
      </w:pPr>
      <w:r>
        <w:rPr>
          <w:b/>
          <w:bCs/>
        </w:rPr>
        <w:t xml:space="preserve">Implementation risk: </w:t>
      </w:r>
      <w:r>
        <w:t xml:space="preserve">Low.</w:t>
      </w:r>
    </w:p>
    <w:p>
      <w:pPr>
        <w:spacing w:after="80" w:before="200"/>
      </w:pPr>
      <w:r>
        <w:rPr>
          <w:b/>
          <w:bCs/>
          <w:color w:val="E36C0A"/>
        </w:rPr>
        <w:t xml:space="preserve">[HIGH] </w:t>
      </w:r>
      <w:r>
        <w:rPr>
          <w:b/>
          <w:bCs/>
        </w:rPr>
        <w:t xml:space="preserve">Public partner signup has no bot/abuse protection</w:t>
      </w:r>
    </w:p>
    <w:p>
      <w:pPr>
        <w:spacing w:after="60"/>
      </w:pPr>
      <w:r>
        <w:rPr>
          <w:b/>
          <w:bCs/>
        </w:rPr>
        <w:t xml:space="preserve">Location: </w:t>
      </w:r>
      <w:r>
        <w:t xml:space="preserve">src/components/auth/PartnerSignupForm.tsx</w:t>
      </w:r>
    </w:p>
    <w:p>
      <w:pPr>
        <w:spacing w:after="60"/>
      </w:pPr>
      <w:r>
        <w:rPr>
          <w:b/>
          <w:bCs/>
        </w:rPr>
        <w:t xml:space="preserve">Problem: </w:t>
      </w:r>
      <w:r>
        <w:t xml:space="preserve">No CAPTCHA or rate limit, despite creating a real Firebase Auth account, a Firestore document, and accepting PDF/image uploads to Storage on every submission.</w:t>
      </w:r>
    </w:p>
    <w:p>
      <w:pPr>
        <w:spacing w:after="60"/>
      </w:pPr>
      <w:r>
        <w:rPr>
          <w:b/>
          <w:bCs/>
        </w:rPr>
        <w:t xml:space="preserve">User impact: </w:t>
      </w:r>
      <w:r>
        <w:t xml:space="preserve">Open surface for signup spam or storage-cost abuse; not something a real user would notice, but a real operational risk.</w:t>
      </w:r>
    </w:p>
    <w:p>
      <w:pPr>
        <w:spacing w:after="60"/>
      </w:pPr>
      <w:r>
        <w:rPr>
          <w:b/>
          <w:bCs/>
        </w:rPr>
        <w:t xml:space="preserve">Recommended solution: </w:t>
      </w:r>
      <w:r>
        <w:t xml:space="preserve">Add reCAPTCHA/hCaptcha to the form and a rate limit on the debounced checkIfEmailExists call.</w:t>
      </w:r>
    </w:p>
    <w:p>
      <w:pPr>
        <w:spacing w:after="60"/>
      </w:pPr>
      <w:r>
        <w:rPr>
          <w:b/>
          <w:bCs/>
        </w:rPr>
        <w:t xml:space="preserve">Implementation risk: </w:t>
      </w:r>
      <w:r>
        <w:t xml:space="preserve">Low.</w:t>
      </w:r>
    </w:p>
    <w:p>
      <w:pPr>
        <w:spacing w:after="80" w:before="200"/>
      </w:pPr>
      <w:r>
        <w:rPr>
          <w:b/>
          <w:bCs/>
          <w:color w:val="E36C0A"/>
        </w:rPr>
        <w:t xml:space="preserve">[HIGH] </w:t>
      </w:r>
      <w:r>
        <w:rPr>
          <w:b/>
          <w:bCs/>
        </w:rPr>
        <w:t xml:space="preserve">Google Merchant Center "missing price" errors caused by a page-vs-schema mismatch</w:t>
      </w:r>
    </w:p>
    <w:p>
      <w:pPr>
        <w:spacing w:after="60"/>
      </w:pPr>
      <w:r>
        <w:rPr>
          <w:b/>
          <w:bCs/>
        </w:rPr>
        <w:t xml:space="preserve">Location: </w:t>
      </w:r>
      <w:r>
        <w:t xml:space="preserve">src/lib/schema/productSchema.ts + src/app/products/[slug]/page.tsx</w:t>
      </w:r>
    </w:p>
    <w:p>
      <w:pPr>
        <w:spacing w:after="60"/>
      </w:pPr>
      <w:r>
        <w:rPr>
          <w:b/>
          <w:bCs/>
        </w:rPr>
        <w:t xml:space="preserve">Problem: </w:t>
      </w:r>
      <w:r>
        <w:t xml:space="preserve">For "Price on Request" (isPriceTbc) services, the visible page shows no number at all, but the JSON-LD structured data asserts a synthetic fallback price of R950 — added specifically to silence a prior Search Console warning, but this now fails Merchant Center's page-content cross-check instead.</w:t>
      </w:r>
    </w:p>
    <w:p>
      <w:pPr>
        <w:spacing w:after="60"/>
      </w:pPr>
      <w:r>
        <w:rPr>
          <w:b/>
          <w:bCs/>
        </w:rPr>
        <w:t xml:space="preserve">User impact: </w:t>
      </w:r>
      <w:r>
        <w:t xml:space="preserve">Not user-facing on-site, but actively breaks a Google integration the business relies on for visibility, and the current fix doesn't resolve it.</w:t>
      </w:r>
    </w:p>
    <w:p>
      <w:pPr>
        <w:spacing w:after="60"/>
      </w:pPr>
      <w:r>
        <w:rPr>
          <w:b/>
          <w:bCs/>
        </w:rPr>
        <w:t xml:space="preserve">Recommended solution: </w:t>
      </w:r>
      <w:r>
        <w:t xml:space="preserve">Stop asserting a fake fixed price for TBC services — either omit offers.price and use priceSpecification with a minPrice, or drop the "Product" type for TBC services and keep "Service" only, which doesn't require a fixed price.</w:t>
      </w:r>
    </w:p>
    <w:p>
      <w:pPr>
        <w:spacing w:after="60"/>
      </w:pPr>
      <w:r>
        <w:rPr>
          <w:b/>
          <w:bCs/>
        </w:rPr>
        <w:t xml:space="preserve">Implementation risk: </w:t>
      </w:r>
      <w:r>
        <w:t xml:space="preserve">Low.</w:t>
      </w:r>
    </w:p>
    <w:p>
      <w:pPr>
        <w:spacing w:after="80" w:before="200"/>
      </w:pPr>
      <w:r>
        <w:rPr>
          <w:b/>
          <w:bCs/>
          <w:color w:val="E36C0A"/>
        </w:rPr>
        <w:t xml:space="preserve">[HIGH] </w:t>
      </w:r>
      <w:r>
        <w:rPr>
          <w:b/>
          <w:bCs/>
        </w:rPr>
        <w:t xml:space="preserve">112 known vulnerabilities in dependencies</w:t>
      </w:r>
    </w:p>
    <w:p>
      <w:pPr>
        <w:spacing w:after="60"/>
      </w:pPr>
      <w:r>
        <w:rPr>
          <w:b/>
          <w:bCs/>
        </w:rPr>
        <w:t xml:space="preserve">Location: </w:t>
      </w:r>
      <w:r>
        <w:t xml:space="preserve">package.json / npm audit</w:t>
      </w:r>
    </w:p>
    <w:p>
      <w:pPr>
        <w:spacing w:after="60"/>
      </w:pPr>
      <w:r>
        <w:rPr>
          <w:b/>
          <w:bCs/>
        </w:rPr>
        <w:t xml:space="preserve">Problem: </w:t>
      </w:r>
      <w:r>
        <w:t xml:space="preserve">4 critical, 33 high, 67 moderate, 8 low — including a critical websocket-driver issue with an available fix, and an unfixed high-severity xlsx prototype-pollution/ReDoS pair.</w:t>
      </w:r>
    </w:p>
    <w:p>
      <w:pPr>
        <w:spacing w:after="60"/>
      </w:pPr>
      <w:r>
        <w:rPr>
          <w:b/>
          <w:bCs/>
        </w:rPr>
        <w:t xml:space="preserve">User impact: </w:t>
      </w:r>
      <w:r>
        <w:t xml:space="preserve">Indirect — dependency-level risk rather than an observed exploit.</w:t>
      </w:r>
    </w:p>
    <w:p>
      <w:pPr>
        <w:spacing w:after="60"/>
      </w:pPr>
      <w:r>
        <w:rPr>
          <w:b/>
          <w:bCs/>
        </w:rPr>
        <w:t xml:space="preserve">Recommended solution: </w:t>
      </w:r>
      <w:r>
        <w:t xml:space="preserve">Run npm audit fix for the addressable issues; evaluate whether xlsx usage can be scoped down given no fix is currently available upstream.</w:t>
      </w:r>
    </w:p>
    <w:p>
      <w:pPr>
        <w:spacing w:after="60"/>
      </w:pPr>
      <w:r>
        <w:rPr>
          <w:b/>
          <w:bCs/>
        </w:rPr>
        <w:t xml:space="preserve">Implementation risk: </w:t>
      </w:r>
      <w:r>
        <w:t xml:space="preserve">Low-to-medium depending on how many fixes involve breaking changes.</w:t>
      </w:r>
    </w:p>
    <w:p>
      <w:pPr>
        <w:pStyle w:val="Heading1"/>
        <w:spacing w:after="160" w:before="360"/>
      </w:pPr>
      <w:r>
        <w:t xml:space="preserve">Medium-Priority Improvements</w:t>
      </w:r>
    </w:p>
    <w:p>
      <w:pPr>
        <w:spacing w:after="140"/>
      </w:pPr>
      <w:r>
        <w:t xml:space="preserve">Noticeable UX problems or inconsistencies worth improving on a normal schedule.</w:t>
      </w:r>
    </w:p>
    <w:p>
      <w:pPr>
        <w:pStyle w:val="ListParagraph"/>
        <w:numPr>
          <w:ilvl w:val="0"/>
          <w:numId w:val="1"/>
        </w:numPr>
        <w:spacing w:after="100"/>
      </w:pPr>
      <w:r>
        <w:rPr>
          <w:b/>
          <w:bCs/>
        </w:rPr>
        <w:t xml:space="preserve">Date formatting is inconsistent across the app — </w:t>
      </w:r>
      <w:r>
        <w:t xml:space="preserve">At least six distinct human-readable date formats are in active use (dd/MM/yyyy, dd MMM yyyy, dd MMMM yyyy, dd MMM yy, MMM d, plus multiple date-time variants) — no shared formatting utility the way formatPrice() standardizes currency. Recommend a single formatDate() helper with 1–2 sanctioned variants (short table format, long display format).</w:t>
      </w:r>
    </w:p>
    <w:p>
      <w:pPr>
        <w:pStyle w:val="ListParagraph"/>
        <w:numPr>
          <w:ilvl w:val="0"/>
          <w:numId w:val="1"/>
        </w:numPr>
        <w:spacing w:after="100"/>
      </w:pPr>
      <w:r>
        <w:rPr>
          <w:b/>
          <w:bCs/>
        </w:rPr>
        <w:t xml:space="preserve">npm run lint is broken — </w:t>
      </w:r>
      <w:r>
        <w:t xml:space="preserve">next lint errors out under Next.js 16 ("Invalid project directory"). Nothing is currently being linted. Migrate to a direct ESLint CLI invocation.</w:t>
      </w:r>
    </w:p>
    <w:p>
      <w:pPr>
        <w:pStyle w:val="ListParagraph"/>
        <w:numPr>
          <w:ilvl w:val="0"/>
          <w:numId w:val="1"/>
        </w:numPr>
        <w:spacing w:after="100"/>
      </w:pPr>
      <w:r>
        <w:rPr>
          <w:b/>
          <w:bCs/>
        </w:rPr>
        <w:t xml:space="preserve">760 uses of any / as any — </w:t>
      </w:r>
      <w:r>
        <w:t xml:space="preserve">Meaningful type-safety erosion for a codebase this size; no immediate user impact but raises the odds of runtime bugs the compiler should catch.</w:t>
      </w:r>
    </w:p>
    <w:p>
      <w:pPr>
        <w:pStyle w:val="ListParagraph"/>
        <w:numPr>
          <w:ilvl w:val="0"/>
          <w:numId w:val="1"/>
        </w:numPr>
        <w:spacing w:after="100"/>
      </w:pPr>
      <w:r>
        <w:rPr>
          <w:b/>
          <w:bCs/>
        </w:rPr>
        <w:t xml:space="preserve">Several very large single-file components — </w:t>
      </w:r>
      <w:r>
        <w:t xml:space="preserve">The admin AI Accountant bank-transactions page is 4,531 lines, the admin inbox page is 2,352 lines, and PartnerProfile.tsx is 1,974 lines — hard to review or safely modify, and (per Performance Findings below) a real perceived-performance risk given how much client-side Firestore listening they do.</w:t>
      </w:r>
    </w:p>
    <w:p>
      <w:pPr>
        <w:pStyle w:val="ListParagraph"/>
        <w:numPr>
          <w:ilvl w:val="0"/>
          <w:numId w:val="1"/>
        </w:numPr>
        <w:spacing w:after="100"/>
      </w:pPr>
      <w:r>
        <w:rPr>
          <w:b/>
          <w:bCs/>
        </w:rPr>
        <w:t xml:space="preserve">sitemap.ts stamps "now" as the last-modified date for every static/service page — </w:t>
      </w:r>
      <w:r>
        <w:t xml:space="preserve">Undersells genuinely fresh content and makes the freshness signal meaningless to search engines for those routes.</w:t>
      </w:r>
    </w:p>
    <w:p>
      <w:pPr>
        <w:pStyle w:val="ListParagraph"/>
        <w:numPr>
          <w:ilvl w:val="0"/>
          <w:numId w:val="1"/>
        </w:numPr>
        <w:spacing w:after="100"/>
      </w:pPr>
      <w:r>
        <w:rPr>
          <w:b/>
          <w:bCs/>
        </w:rPr>
        <w:t xml:space="preserve">Inconsistent password minimum length — </w:t>
      </w:r>
      <w:r>
        <w:t xml:space="preserve">6 characters on the self-serve partner signup form vs. 8 characters on the staff invite-acceptance form — same product, same account model.</w:t>
      </w:r>
    </w:p>
    <w:p>
      <w:pPr>
        <w:pStyle w:val="ListParagraph"/>
        <w:numPr>
          <w:ilvl w:val="0"/>
          <w:numId w:val="1"/>
        </w:numPr>
        <w:spacing w:after="100"/>
      </w:pPr>
      <w:r>
        <w:rPr>
          <w:b/>
          <w:bCs/>
        </w:rPr>
        <w:t xml:space="preserve">checkIfEmailExists has no rate limit — </w:t>
      </w:r>
      <w:r>
        <w:t xml:space="preserve">Called on every debounced keystroke in the signup email field — a low-severity email-enumeration surface, easy to throttle.</w:t>
      </w:r>
    </w:p>
    <w:p>
      <w:pPr>
        <w:pStyle w:val="ListParagraph"/>
        <w:numPr>
          <w:ilvl w:val="0"/>
          <w:numId w:val="1"/>
        </w:numPr>
        <w:spacing w:after="100"/>
      </w:pPr>
      <w:r>
        <w:rPr>
          <w:b/>
          <w:bCs/>
        </w:rPr>
        <w:t xml:space="preserve">Hardcoded personal email in partner welcome notifications — </w:t>
      </w:r>
      <w:r>
        <w:t xml:space="preserve">cc: 'kev@thinkestry.co.za' is hardcoded in PartnerSignupForm.tsx; move to a configurable notification address.</w:t>
      </w:r>
    </w:p>
    <w:p>
      <w:pPr>
        <w:pStyle w:val="ListParagraph"/>
        <w:numPr>
          <w:ilvl w:val="0"/>
          <w:numId w:val="1"/>
        </w:numPr>
        <w:spacing w:after="100"/>
      </w:pPr>
      <w:r>
        <w:rPr>
          <w:b/>
          <w:bCs/>
        </w:rPr>
        <w:t xml:space="preserve">In-memory rate limiter resets per server instance — </w:t>
      </w:r>
      <w:r>
        <w:t xml:space="preserve">With up to 100 concurrent Cloud Run instances configured, this offers much weaker protection under real load than it appears to.</w:t>
      </w:r>
    </w:p>
    <w:p>
      <w:pPr>
        <w:pStyle w:val="ListParagraph"/>
        <w:numPr>
          <w:ilvl w:val="0"/>
          <w:numId w:val="1"/>
        </w:numPr>
        <w:spacing w:after="100"/>
      </w:pPr>
      <w:r>
        <w:rPr>
          <w:b/>
          <w:bCs/>
        </w:rPr>
        <w:t xml:space="preserve">updateGlobalMerchantDb() is a silent no-op — </w:t>
      </w:r>
      <w:r>
        <w:t xml:space="preserve">Called from the admin AI Accountant UI as if it persists a shared merchant database; it currently only logs to console. Misleading for future maintenance even though nothing user-facing depends on it yet.</w:t>
      </w:r>
    </w:p>
    <w:p>
      <w:pPr>
        <w:pStyle w:val="ListParagraph"/>
        <w:numPr>
          <w:ilvl w:val="0"/>
          <w:numId w:val="1"/>
        </w:numPr>
        <w:spacing w:after="100"/>
      </w:pPr>
      <w:r>
        <w:rPr>
          <w:b/>
          <w:bCs/>
        </w:rPr>
        <w:t xml:space="preserve">Top-level nav labels with dropdowns have a dead, unused href — </w:t>
      </w:r>
      <w:r>
        <w:t xml:space="preserve">e.g. clicking "Become a Partner" or "Accounting" only opens the dropdown — the page each label nominally points to requires a second click on a specific item inside the menu. Minor extra-click friction on the exact pages a first-time visitor is most likely to want.</w:t>
      </w:r>
    </w:p>
    <w:p>
      <w:pPr>
        <w:pStyle w:val="ListParagraph"/>
        <w:numPr>
          <w:ilvl w:val="0"/>
          <w:numId w:val="1"/>
        </w:numPr>
        <w:spacing w:after="100"/>
      </w:pPr>
      <w:r>
        <w:rPr>
          <w:b/>
          <w:bCs/>
        </w:rPr>
        <w:t xml:space="preserve">22 one-off scripts cluttering the project root — </w:t>
      </w:r>
      <w:r>
        <w:t xml:space="preserve">vs. 4 organized in scripts/ — not user-facing, but a real contributor-facing maintainability gap that increases the odds of an old debug script being run by mistake.</w:t>
      </w:r>
    </w:p>
    <w:p>
      <w:pPr>
        <w:pStyle w:val="Heading1"/>
        <w:spacing w:after="160" w:before="360"/>
      </w:pPr>
      <w:r>
        <w:t xml:space="preserve">Low-Priority Improvements</w:t>
      </w:r>
    </w:p>
    <w:p>
      <w:pPr>
        <w:pStyle w:val="ListParagraph"/>
        <w:numPr>
          <w:ilvl w:val="0"/>
          <w:numId w:val="1"/>
        </w:numPr>
        <w:spacing w:after="80"/>
      </w:pPr>
      <w:r>
        <w:t xml:space="preserve">12 known 404s logged in errors.json, including one URL containing a literal unescaped &amp;lt;/div fragment — a sign of unclosed HTML leaking from AI-generated blog content into a link somewhere.</w:t>
      </w:r>
    </w:p>
    <w:p>
      <w:pPr>
        <w:pStyle w:val="ListParagraph"/>
        <w:numPr>
          <w:ilvl w:val="0"/>
          <w:numId w:val="1"/>
        </w:numPr>
        <w:spacing w:after="80"/>
      </w:pPr>
      <w:r>
        <w:t xml:space="preserve">batch-optimize-seo.ts (AI metadata generation for ~45 static pages) is a manual script, not scheduled — metadata only improves when someone remembers to run it.</w:t>
      </w:r>
    </w:p>
    <w:p>
      <w:pPr>
        <w:pStyle w:val="ListParagraph"/>
        <w:numPr>
          <w:ilvl w:val="0"/>
          <w:numId w:val="1"/>
        </w:numPr>
        <w:spacing w:after="80"/>
      </w:pPr>
      <w:r>
        <w:t xml:space="preserve">Console shows a harmless Firestore deprecation warning (enableIndexedDbPersistence → FirestoreSettings.cache) on every page load — worth migrating before a future SDK version removes the old API outright.</w:t>
      </w:r>
    </w:p>
    <w:p>
      <w:pPr>
        <w:pStyle w:val="ListParagraph"/>
        <w:numPr>
          <w:ilvl w:val="0"/>
          <w:numId w:val="1"/>
        </w:numPr>
        <w:spacing w:after="80"/>
      </w:pPr>
      <w:r>
        <w:t xml:space="preserve">Reviews on product pages show dates in the future relative to typical content ("14 August 2026" on an August 2026 page) — worth spot-checking that seeded/sample review dates aren't being generated ahead of the current date.</w:t>
      </w:r>
    </w:p>
    <w:p>
      <w:pPr>
        <w:pStyle w:val="Heading1"/>
        <w:spacing w:after="160" w:before="360"/>
      </w:pPr>
      <w:r>
        <w:t xml:space="preserve">Functionality Bugs</w:t>
      </w:r>
    </w:p>
    <w:p>
      <w:pPr>
        <w:spacing w:after="140"/>
      </w:pPr>
      <w:r>
        <w:t xml:space="preserve">Broken or unreliable features discovered during this pass, consolidated from the sections above for quick reference:</w:t>
      </w:r>
    </w:p>
    <w:p>
      <w:pPr>
        <w:pStyle w:val="ListParagraph"/>
        <w:numPr>
          <w:ilvl w:val="0"/>
          <w:numId w:val="1"/>
        </w:numPr>
        <w:spacing w:after="80"/>
      </w:pPr>
      <w:r>
        <w:t xml:space="preserve">Partner "Manage Client" link → dashboard redirect stub → admin login wall (dead end for partner role).</w:t>
      </w:r>
    </w:p>
    <w:p>
      <w:pPr>
        <w:pStyle w:val="ListParagraph"/>
        <w:numPr>
          <w:ilvl w:val="0"/>
          <w:numId w:val="1"/>
        </w:numPr>
        <w:spacing w:after="80"/>
      </w:pPr>
      <w:r>
        <w:t xml:space="preserve">Merchant Center price mismatch on TBC/"Price on Request" services (schema claims a price the page never shows).</w:t>
      </w:r>
    </w:p>
    <w:p>
      <w:pPr>
        <w:pStyle w:val="ListParagraph"/>
        <w:numPr>
          <w:ilvl w:val="0"/>
          <w:numId w:val="1"/>
        </w:numPr>
        <w:spacing w:after="80"/>
      </w:pPr>
      <w:r>
        <w:t xml:space="preserve">updateGlobalMerchantDb() silently does nothing despite being called as if it persists data.</w:t>
      </w:r>
    </w:p>
    <w:p>
      <w:pPr>
        <w:pStyle w:val="ListParagraph"/>
        <w:numPr>
          <w:ilvl w:val="0"/>
          <w:numId w:val="1"/>
        </w:numPr>
        <w:spacing w:after="80"/>
      </w:pPr>
      <w:r>
        <w:t xml:space="preserve">Firestore users self-write rule permits unintended field changes (functions as a security bug with functional consequences — a user "successfully" changing their own role is not caught or blocked anywhere in the UI or rules).</w:t>
      </w:r>
    </w:p>
    <w:p>
      <w:pPr>
        <w:pStyle w:val="Heading1"/>
        <w:spacing w:after="160" w:before="360"/>
      </w:pPr>
      <w:r>
        <w:t xml:space="preserve">UX Improvements</w:t>
      </w:r>
    </w:p>
    <w:p>
      <w:pPr>
        <w:spacing w:after="140"/>
      </w:pPr>
      <w:r>
        <w:t xml:space="preserve">Positive patterns worth preserving, alongside the workflow improvements already listed above:</w:t>
      </w:r>
    </w:p>
    <w:p>
      <w:pPr>
        <w:pStyle w:val="ListParagraph"/>
        <w:numPr>
          <w:ilvl w:val="0"/>
          <w:numId w:val="1"/>
        </w:numPr>
        <w:spacing w:after="80"/>
      </w:pPr>
      <w:r>
        <w:t xml:space="preserve">Cart empty state (icon, clear message, "Browse Our Services" CTA) and checkout empty-cart guard are both well done and consistent with each other.</w:t>
      </w:r>
    </w:p>
    <w:p>
      <w:pPr>
        <w:pStyle w:val="ListParagraph"/>
        <w:numPr>
          <w:ilvl w:val="0"/>
          <w:numId w:val="1"/>
        </w:numPr>
        <w:spacing w:after="80"/>
      </w:pPr>
      <w:r>
        <w:t xml:space="preserve">Password reset flow gives a generic, non-account-enumerating confirmation message ("If an account exists...") — good security-conscious UX, worth using as the template elsewhere the app might otherwise leak account existence (e.g. the live checkIfEmailExists indicator on signup, which does the opposite).</w:t>
      </w:r>
    </w:p>
    <w:p>
      <w:pPr>
        <w:pStyle w:val="ListParagraph"/>
        <w:numPr>
          <w:ilvl w:val="0"/>
          <w:numId w:val="1"/>
        </w:numPr>
        <w:spacing w:after="80"/>
      </w:pPr>
      <w:r>
        <w:t xml:space="preserve">Login error handling is well-differentiated (invalid credentials vs. wrong portal/role vs. lapsed subscription vs. unknown error), each with its own message and, for lapsed subscriptions, a direct renewal path — a good pattern to hold up as the standard for the rest of the app's error handling.</w:t>
      </w:r>
    </w:p>
    <w:p>
      <w:pPr>
        <w:pStyle w:val="ListParagraph"/>
        <w:numPr>
          <w:ilvl w:val="0"/>
          <w:numId w:val="1"/>
        </w:numPr>
        <w:spacing w:after="80"/>
      </w:pPr>
      <w:r>
        <w:t xml:space="preserve">Add-to-cart triggers a toast confirmation — good "did that work?" feedback.</w:t>
      </w:r>
    </w:p>
    <w:p>
      <w:pPr>
        <w:pStyle w:val="Heading1"/>
        <w:spacing w:after="160" w:before="360"/>
      </w:pPr>
      <w:r>
        <w:t xml:space="preserve">Performance Findings</w:t>
      </w:r>
    </w:p>
    <w:p>
      <w:pPr>
        <w:spacing w:after="140"/>
      </w:pPr>
      <w:r>
        <w:t xml:space="preserve">No console errors, failed network requests, or visibly slow loads were observed on any of the public pages tested live (homepage, products listing, product detail, cart, login, 404) — the only console output was a single harmless Firestore deprecation warning.</w:t>
      </w:r>
    </w:p>
    <w:p>
      <w:pPr>
        <w:spacing w:after="140"/>
      </w:pPr>
      <w:r>
        <w:t xml:space="preserve">The clearest performance risk is structural rather than observed: the largest admin pages (4,531-line bank-transactions page in particular) combine a very large single component with heavy client-side Firestore onSnapshot usage. This wasn't load-tested live (no admin credentials available in this session), but the size and listener density are exactly the profile that produces slow initial renders and excessive re-renders in practice. Recommend profiling this page specifically with React DevTools once test credentials are available, ahead of any further feature work on it.</w:t>
      </w:r>
    </w:p>
    <w:p>
      <w:pPr>
        <w:pStyle w:val="Heading1"/>
        <w:spacing w:after="160" w:before="360"/>
      </w:pPr>
      <w:r>
        <w:t xml:space="preserve">Accessibility Findings</w:t>
      </w:r>
    </w:p>
    <w:p>
      <w:pPr>
        <w:spacing w:after="140"/>
      </w:pPr>
      <w:r>
        <w:t xml:space="preserve">This pass included a light accessibility check, not a full WCAG audit (which would need dedicated tooling — axe-core or Lighthouse — for reliable contrast, keyboard-trap, and screen-reader coverage). Within that limited scope:</w:t>
      </w:r>
    </w:p>
    <w:p>
      <w:pPr>
        <w:pStyle w:val="ListParagraph"/>
        <w:numPr>
          <w:ilvl w:val="0"/>
          <w:numId w:val="1"/>
        </w:numPr>
        <w:spacing w:after="80"/>
      </w:pPr>
      <w:r>
        <w:t xml:space="preserve">Positive: icon-only buttons in the header (cart, mobile menu) carry sr-only text ("Shopping Cart", "Open menu") — correct pattern, worth applying consistently to any other icon-only controls across the admin/dashboard UI.</w:t>
      </w:r>
    </w:p>
    <w:p>
      <w:pPr>
        <w:pStyle w:val="ListParagraph"/>
        <w:numPr>
          <w:ilvl w:val="0"/>
          <w:numId w:val="1"/>
        </w:numPr>
        <w:spacing w:after="80"/>
      </w:pPr>
      <w:r>
        <w:t xml:space="preserve">Not yet verified: colour contrast, full keyboard navigation (tab order, focus rings) through multi-step forms and dropdown menus, and screen-reader behavior of the mega-menus flagged above — a 26-item dropdown is also an accessibility concern, not just a visual one, since it's a lot of ground to tab through linearly.</w:t>
      </w:r>
    </w:p>
    <w:p>
      <w:pPr>
        <w:pStyle w:val="ListParagraph"/>
        <w:numPr>
          <w:ilvl w:val="0"/>
          <w:numId w:val="1"/>
        </w:numPr>
        <w:spacing w:after="80"/>
      </w:pPr>
      <w:r>
        <w:t xml:space="preserve">Recommended next step: run an automated pass (Lighthouse or axe DevTools) across the highest-traffic templates (homepage, product detail, checkout, login) as a fast way to catch contrast and ARIA issues this manual pass could not reliably assess.</w:t>
      </w:r>
    </w:p>
    <w:p>
      <w:pPr>
        <w:pStyle w:val="Heading1"/>
        <w:spacing w:after="160" w:before="360"/>
      </w:pPr>
      <w:r>
        <w:t xml:space="preserve">Recommended Implementation Order</w:t>
      </w:r>
    </w:p>
    <w:p>
      <w:pPr>
        <w:spacing w:after="140"/>
      </w:pPr>
      <w:r>
        <w:t xml:space="preserve">Grouped into safe batches — each batch should be regression-tested before starting the next.</w:t>
      </w:r>
    </w:p>
    <w:p>
      <w:pPr>
        <w:pStyle w:val="Heading2"/>
        <w:spacing w:after="120" w:before="260"/>
      </w:pPr>
      <w:r>
        <w:t xml:space="preserve">1. Security (do first, low code-change risk)</w:t>
      </w:r>
    </w:p>
    <w:p>
      <w:pPr>
        <w:pStyle w:val="ListParagraph"/>
        <w:numPr>
          <w:ilvl w:val="0"/>
          <w:numId w:val="1"/>
        </w:numPr>
        <w:spacing w:after="80"/>
      </w:pPr>
      <w:r>
        <w:t xml:space="preserve">Rotate the three exposed production secrets and move them to Firebase App Hosting secret manager.</w:t>
      </w:r>
    </w:p>
    <w:p>
      <w:pPr>
        <w:pStyle w:val="ListParagraph"/>
        <w:numPr>
          <w:ilvl w:val="0"/>
          <w:numId w:val="1"/>
        </w:numPr>
        <w:spacing w:after="80"/>
      </w:pPr>
      <w:r>
        <w:t xml:space="preserve">Restrict the /users/{userId} Firestore self-write rule to non-privileged fields.</w:t>
      </w:r>
    </w:p>
    <w:p>
      <w:pPr>
        <w:pStyle w:val="ListParagraph"/>
        <w:numPr>
          <w:ilvl w:val="0"/>
          <w:numId w:val="1"/>
        </w:numPr>
        <w:spacing w:after="80"/>
      </w:pPr>
      <w:r>
        <w:t xml:space="preserve">Add ownership checks to the Admin-SDK server actions in ai-recon.ts, staff.ts, and partnerLeads.ts.</w:t>
      </w:r>
    </w:p>
    <w:p>
      <w:pPr>
        <w:pStyle w:val="ListParagraph"/>
        <w:numPr>
          <w:ilvl w:val="0"/>
          <w:numId w:val="1"/>
        </w:numPr>
        <w:spacing w:after="80"/>
      </w:pPr>
      <w:r>
        <w:t xml:space="preserve">Fix the ADMIN_SECRET bypass bug; delete or gate the two debug API routes; add CRON_SECRET to the cron route.</w:t>
      </w:r>
    </w:p>
    <w:p>
      <w:pPr>
        <w:pStyle w:val="Heading2"/>
        <w:spacing w:after="120" w:before="260"/>
      </w:pPr>
      <w:r>
        <w:t xml:space="preserve">2. Broken workflows</w:t>
      </w:r>
    </w:p>
    <w:p>
      <w:pPr>
        <w:pStyle w:val="ListParagraph"/>
        <w:numPr>
          <w:ilvl w:val="0"/>
          <w:numId w:val="1"/>
        </w:numPr>
        <w:spacing w:after="80"/>
      </w:pPr>
      <w:r>
        <w:t xml:space="preserve">Resolve the partner AI Accountant redirect dead-end (routing fix or UI correction, depending on the product decision).</w:t>
      </w:r>
    </w:p>
    <w:p>
      <w:pPr>
        <w:pStyle w:val="ListParagraph"/>
        <w:numPr>
          <w:ilvl w:val="0"/>
          <w:numId w:val="1"/>
        </w:numPr>
        <w:spacing w:after="80"/>
      </w:pPr>
      <w:r>
        <w:t xml:space="preserve">Fix the Merchant Center price/schema mismatch for TBC services.</w:t>
      </w:r>
    </w:p>
    <w:p>
      <w:pPr>
        <w:pStyle w:val="Heading2"/>
        <w:spacing w:after="120" w:before="260"/>
      </w:pPr>
      <w:r>
        <w:t xml:space="preserve">3. High-friction UX</w:t>
      </w:r>
    </w:p>
    <w:p>
      <w:pPr>
        <w:pStyle w:val="ListParagraph"/>
        <w:numPr>
          <w:ilvl w:val="0"/>
          <w:numId w:val="1"/>
        </w:numPr>
        <w:spacing w:after="80"/>
      </w:pPr>
      <w:r>
        <w:t xml:space="preserve">Restructure the mega-nav dropdowns into sub-groups.</w:t>
      </w:r>
    </w:p>
    <w:p>
      <w:pPr>
        <w:pStyle w:val="ListParagraph"/>
        <w:numPr>
          <w:ilvl w:val="0"/>
          <w:numId w:val="1"/>
        </w:numPr>
        <w:spacing w:after="80"/>
      </w:pPr>
      <w:r>
        <w:t xml:space="preserve">Build a branded 404 page.</w:t>
      </w:r>
    </w:p>
    <w:p>
      <w:pPr>
        <w:pStyle w:val="ListParagraph"/>
        <w:numPr>
          <w:ilvl w:val="0"/>
          <w:numId w:val="1"/>
        </w:numPr>
        <w:spacing w:after="80"/>
      </w:pPr>
      <w:r>
        <w:t xml:space="preserve">Add CAPTCHA/rate limiting to public signup.</w:t>
      </w:r>
    </w:p>
    <w:p>
      <w:pPr>
        <w:pStyle w:val="Heading2"/>
        <w:spacing w:after="120" w:before="260"/>
      </w:pPr>
      <w:r>
        <w:t xml:space="preserve">4. Consistency &amp; maintenance debt</w:t>
      </w:r>
    </w:p>
    <w:p>
      <w:pPr>
        <w:pStyle w:val="ListParagraph"/>
        <w:numPr>
          <w:ilvl w:val="0"/>
          <w:numId w:val="1"/>
        </w:numPr>
        <w:spacing w:after="80"/>
      </w:pPr>
      <w:r>
        <w:t xml:space="preserve">Introduce a shared date-formatting utility and migrate call sites.</w:t>
      </w:r>
    </w:p>
    <w:p>
      <w:pPr>
        <w:pStyle w:val="ListParagraph"/>
        <w:numPr>
          <w:ilvl w:val="0"/>
          <w:numId w:val="1"/>
        </w:numPr>
        <w:spacing w:after="80"/>
      </w:pPr>
      <w:r>
        <w:t xml:space="preserve">Fix the lint script; begin reducing any usage opportunistically as files are touched.</w:t>
      </w:r>
    </w:p>
    <w:p>
      <w:pPr>
        <w:pStyle w:val="ListParagraph"/>
        <w:numPr>
          <w:ilvl w:val="0"/>
          <w:numId w:val="1"/>
        </w:numPr>
        <w:spacing w:after="80"/>
      </w:pPr>
      <w:r>
        <w:t xml:space="preserve">Align password-length policy; move the hardcoded notification email to config; replace the in-memory rate limiter with a durable store if/when multi-instance abuse becomes a concern.</w:t>
      </w:r>
    </w:p>
    <w:p>
      <w:pPr>
        <w:pStyle w:val="ListParagraph"/>
        <w:numPr>
          <w:ilvl w:val="0"/>
          <w:numId w:val="1"/>
        </w:numPr>
        <w:spacing w:after="80"/>
      </w:pPr>
      <w:r>
        <w:t xml:space="preserve">Run npm audit fix for addressable dependency vulnerabilities.</w:t>
      </w:r>
    </w:p>
    <w:p>
      <w:pPr>
        <w:pStyle w:val="Heading2"/>
        <w:spacing w:after="120" w:before="260"/>
      </w:pPr>
      <w:r>
        <w:t xml:space="preserve">5. Polish</w:t>
      </w:r>
    </w:p>
    <w:p>
      <w:pPr>
        <w:pStyle w:val="ListParagraph"/>
        <w:numPr>
          <w:ilvl w:val="0"/>
          <w:numId w:val="1"/>
        </w:numPr>
        <w:spacing w:after="80"/>
      </w:pPr>
      <w:r>
        <w:t xml:space="preserve">Fix the malformed-HTML 404 URL and re-check the other 11 logged 404s.</w:t>
      </w:r>
    </w:p>
    <w:p>
      <w:pPr>
        <w:pStyle w:val="ListParagraph"/>
        <w:numPr>
          <w:ilvl w:val="0"/>
          <w:numId w:val="1"/>
        </w:numPr>
        <w:spacing w:after="80"/>
      </w:pPr>
      <w:r>
        <w:t xml:space="preserve">Automate batch-optimize-seo.ts on a schedule.</w:t>
      </w:r>
    </w:p>
    <w:p>
      <w:pPr>
        <w:pStyle w:val="ListParagraph"/>
        <w:numPr>
          <w:ilvl w:val="0"/>
          <w:numId w:val="1"/>
        </w:numPr>
        <w:spacing w:after="80"/>
      </w:pPr>
      <w:r>
        <w:t xml:space="preserve">Migrate off the deprecated Firestore persistence API.</w:t>
      </w:r>
    </w:p>
    <w:p>
      <w:pPr>
        <w:pStyle w:val="Heading1"/>
        <w:spacing w:after="160" w:before="360"/>
      </w:pPr>
      <w:r>
        <w:t xml:space="preserve">Regression Results</w:t>
      </w:r>
    </w:p>
    <w:p>
      <w:pPr>
        <w:spacing w:after="140"/>
      </w:pPr>
      <w:r>
        <w:t xml:space="preserve">Not applicable to this pass — this was an audit only, and no code changes were made. Once fixes from the sections above are implemented, each affected workflow should be retested: the Firestore rule change against both the partner-signup and staff-invite flows plus normal profile-editing; the ai-recon.ts authorization change against the full bank-statement-import-to-allocation pipeline; and the navigation restructure across desktop and mobile. This document can serve as the checklist for that follow-up regression pass.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2026-08-15T11:10:17.047Z</dcterms:created>
  <dcterms:modified xsi:type="dcterms:W3CDTF">2026-08-15T11:10:17.054Z</dcterms:modified>
</cp:coreProperties>
</file>

<file path=docProps/custom.xml><?xml version="1.0" encoding="utf-8"?>
<Properties xmlns="http://schemas.openxmlformats.org/officeDocument/2006/custom-properties" xmlns:vt="http://schemas.openxmlformats.org/officeDocument/2006/docPropsVTypes"/>
</file>