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0"/>
      </w:pPr>
      <w:r>
        <w:rPr>
          <w:rFonts w:ascii="Calibri" w:hAnsi="Calibri"/>
          <w:b/>
          <w:i w:val="0"/>
          <w:color w:val="0F766E"/>
          <w:sz w:val="20"/>
        </w:rPr>
        <w:t>PRODUCT REQUIREMENTS DOCUMENT</w:t>
      </w:r>
    </w:p>
    <w:p>
      <w:pPr>
        <w:pStyle w:val="Title"/>
      </w:pPr>
      <w:r>
        <w:rPr>
          <w:rFonts w:ascii="Calibri" w:hAnsi="Calibri"/>
          <w:b/>
          <w:i w:val="0"/>
          <w:color w:val="17324D"/>
          <w:sz w:val="50"/>
        </w:rPr>
        <w:t>GigBridge</w:t>
      </w:r>
    </w:p>
    <w:p>
      <w:pPr>
        <w:pStyle w:val="Subtitle"/>
      </w:pPr>
      <w:r>
        <w:rPr>
          <w:rFonts w:ascii="Calibri" w:hAnsi="Calibri"/>
          <w:b w:val="0"/>
          <w:i w:val="0"/>
          <w:color w:val="667085"/>
          <w:sz w:val="26"/>
        </w:rPr>
        <w:t>A transparent 14-day cash-flow and opportunity-impact planner for gig workers</w:t>
      </w:r>
    </w:p>
    <w:p>
      <w:pPr>
        <w:spacing w:after="40"/>
      </w:pPr>
      <w:r>
        <w:rPr>
          <w:rFonts w:ascii="Calibri" w:hAnsi="Calibri"/>
          <w:b/>
          <w:i w:val="0"/>
          <w:color w:val="17324D"/>
          <w:sz w:val="22"/>
        </w:rPr>
        <w:t xml:space="preserve">Version: </w:t>
      </w:r>
      <w:r>
        <w:rPr>
          <w:rFonts w:ascii="Calibri" w:hAnsi="Calibri"/>
          <w:b w:val="0"/>
          <w:i w:val="0"/>
          <w:color w:val="243447"/>
          <w:sz w:val="22"/>
        </w:rPr>
        <w:t>0.1</w:t>
      </w:r>
    </w:p>
    <w:p>
      <w:pPr>
        <w:spacing w:after="40"/>
      </w:pPr>
      <w:r>
        <w:rPr>
          <w:rFonts w:ascii="Calibri" w:hAnsi="Calibri"/>
          <w:b/>
          <w:i w:val="0"/>
          <w:color w:val="17324D"/>
          <w:sz w:val="22"/>
        </w:rPr>
        <w:t xml:space="preserve">Status: </w:t>
      </w:r>
      <w:r>
        <w:rPr>
          <w:rFonts w:ascii="Calibri" w:hAnsi="Calibri"/>
          <w:b w:val="0"/>
          <w:i w:val="0"/>
          <w:color w:val="243447"/>
          <w:sz w:val="22"/>
        </w:rPr>
        <w:t>Current prototype baseline</w:t>
      </w:r>
    </w:p>
    <w:p>
      <w:pPr>
        <w:spacing w:after="40"/>
      </w:pPr>
      <w:r>
        <w:rPr>
          <w:rFonts w:ascii="Calibri" w:hAnsi="Calibri"/>
          <w:b/>
          <w:i w:val="0"/>
          <w:color w:val="17324D"/>
          <w:sz w:val="22"/>
        </w:rPr>
        <w:t xml:space="preserve">Prepared: </w:t>
      </w:r>
      <w:r>
        <w:rPr>
          <w:rFonts w:ascii="Calibri" w:hAnsi="Calibri"/>
          <w:b w:val="0"/>
          <w:i w:val="0"/>
          <w:color w:val="243447"/>
          <w:sz w:val="22"/>
        </w:rPr>
        <w:t>4 September 2026</w:t>
      </w:r>
    </w:p>
    <w:p>
      <w:pPr>
        <w:spacing w:after="40"/>
      </w:pPr>
      <w:r>
        <w:rPr>
          <w:rFonts w:ascii="Calibri" w:hAnsi="Calibri"/>
          <w:b/>
          <w:i w:val="0"/>
          <w:color w:val="17324D"/>
          <w:sz w:val="22"/>
        </w:rPr>
        <w:t xml:space="preserve">Audience: </w:t>
      </w:r>
      <w:r>
        <w:rPr>
          <w:rFonts w:ascii="Calibri" w:hAnsi="Calibri"/>
          <w:b w:val="0"/>
          <w:i w:val="0"/>
          <w:color w:val="243447"/>
          <w:sz w:val="22"/>
        </w:rPr>
        <w:t>Product, engineering, design, mentors, and hackathon judges</w:t>
      </w:r>
    </w:p>
    <w:p>
      <w:pPr>
        <w:spacing w:before="200" w:after="240"/>
        <w:pBdr>
          <w:bottom w:val="single" w:sz="18" w:color="0F766E"/>
        </w:pBdr>
      </w:pPr>
    </w:p>
    <w:tbl>
      <w:tblPr>
        <w:tblW w:type="dxa" w:w="9360"/>
        <w:jc w:val="left"/>
        <w:tblLayout w:type="fixed"/>
        <w:tblLook w:firstColumn="1" w:firstRow="1" w:lastColumn="0" w:lastRow="0" w:noHBand="0" w:noVBand="1" w:val="04A0"/>
        <w:tblInd w:w="120" w:type="dxa"/>
      </w:tblPr>
      <w:tblGrid>
        <w:gridCol w:w="9360"/>
      </w:tblGrid>
      <w:tr>
        <w:trPr>
          <w:tblHeader/>
          <w:cantSplit/>
        </w:trPr>
        <w:tc>
          <w:tcPr>
            <w:tcW w:type="dxa" w:w="93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shd w:fill="E7F4F2"/>
          </w:tcPr>
          <w:p>
            <w:pPr>
              <w:keepLines/>
              <w:spacing w:after="40"/>
            </w:pPr>
            <w:r>
              <w:rPr>
                <w:rFonts w:ascii="Calibri" w:hAnsi="Calibri"/>
                <w:b/>
                <w:i w:val="0"/>
                <w:color w:val="0F766E"/>
                <w:sz w:val="20"/>
              </w:rPr>
              <w:t xml:space="preserve">PRODUCT THESIS  </w:t>
            </w:r>
            <w:r>
              <w:rPr>
                <w:rFonts w:ascii="Calibri" w:hAnsi="Calibri"/>
                <w:b w:val="0"/>
                <w:i w:val="0"/>
                <w:color w:val="243447"/>
                <w:sz w:val="20"/>
              </w:rPr>
              <w:t>GigBridge helps a worker see the first essential cash gap, understand its timing, and preview whether one feasible fictional work opportunity could reduce it—without presenting a booking, lending, or financial-advice service.</w:t>
            </w:r>
          </w:p>
        </w:tc>
      </w:tr>
    </w:tbl>
    <w:p>
      <w:pPr>
        <w:spacing w:after="0"/>
      </w:pPr>
    </w:p>
    <w:p>
      <w:pPr>
        <w:pStyle w:val="Heading1"/>
      </w:pPr>
      <w:r>
        <w:t>1. Executive summary</w:t>
      </w:r>
    </w:p>
    <w:p>
      <w:r>
        <w:t>GigBridge is a local, fictional demonstration product that converts a small set of worker-entered cash, expense, payout, availability, transport, skill, and onboarding details into a deterministic 14-day cash-flow forecast. It identifies the earliest essential shortfall, separates that event from a safety-buffer breach, evaluates sample opportunities for feasibility and timing, ranks only those that can reduce the first gap, and previews one opportunity at a time.</w:t>
      </w:r>
    </w:p>
    <w:p>
      <w:r>
        <w:t>The core product promise is explainability: all financial calculations, eligibility decisions, simulations, and rankings remain rule-based. A constrained AI layer may organize verified facts into approved messages, but it cannot change calculations, invent facts, or provide unrestricted advice.</w:t>
      </w:r>
    </w:p>
    <w:p>
      <w:pPr>
        <w:pStyle w:val="Heading1"/>
      </w:pPr>
      <w:r>
        <w:t>2. Problem and user need</w:t>
      </w:r>
    </w:p>
    <w:p>
      <w:r>
        <w:t>Workers with variable earnings may know that money is tight without knowing the exact day or event that creates the first gap. Opportunity listings also emphasize gross pay while obscuring payout timing, travel, upfront costs, onboarding, and schedule fit. A useful planning tool must combine these factors without implying certainty, employment, or full financial resolution.</w:t>
      </w:r>
    </w:p>
    <w:p>
      <w:pPr>
        <w:pStyle w:val="Heading1"/>
      </w:pPr>
      <w:r>
        <w:t>3. Goals and success criteria</w:t>
      </w:r>
    </w:p>
    <w:p>
      <w:pPr>
        <w:pStyle w:val="ListBullet"/>
      </w:pPr>
      <w:r>
        <w:rPr>
          <w:rFonts w:ascii="Calibri" w:hAnsi="Calibri"/>
          <w:b w:val="0"/>
          <w:i w:val="0"/>
          <w:color w:val="243447"/>
          <w:sz w:val="22"/>
        </w:rPr>
        <w:t>Make the earliest essential shortfall and buffer breach understandable in under one minute.</w:t>
      </w:r>
    </w:p>
    <w:p>
      <w:pPr>
        <w:pStyle w:val="ListBullet"/>
      </w:pPr>
      <w:r>
        <w:rPr>
          <w:rFonts w:ascii="Calibri" w:hAnsi="Calibri"/>
          <w:b w:val="0"/>
          <w:i w:val="0"/>
          <w:color w:val="243447"/>
          <w:sz w:val="22"/>
        </w:rPr>
        <w:t>Show why an opportunity is feasible, late-paying, uncertain, or ineligible.</w:t>
      </w:r>
    </w:p>
    <w:p>
      <w:pPr>
        <w:pStyle w:val="ListBullet"/>
      </w:pPr>
      <w:r>
        <w:rPr>
          <w:rFonts w:ascii="Calibri" w:hAnsi="Calibri"/>
          <w:b w:val="0"/>
          <w:i w:val="0"/>
          <w:color w:val="243447"/>
          <w:sz w:val="22"/>
        </w:rPr>
        <w:t>Preview one opportunity’s cash-flow effect without modifying the baseline scenario.</w:t>
      </w:r>
    </w:p>
    <w:p>
      <w:pPr>
        <w:pStyle w:val="ListBullet"/>
      </w:pPr>
      <w:r>
        <w:rPr>
          <w:rFonts w:ascii="Calibri" w:hAnsi="Calibri"/>
          <w:b w:val="0"/>
          <w:i w:val="0"/>
          <w:color w:val="243447"/>
          <w:sz w:val="22"/>
        </w:rPr>
        <w:t>Keep every numeric and ranking claim reproducible from deterministic inputs.</w:t>
      </w:r>
    </w:p>
    <w:p>
      <w:pPr>
        <w:pStyle w:val="ListBullet"/>
      </w:pPr>
      <w:r>
        <w:rPr>
          <w:rFonts w:ascii="Calibri" w:hAnsi="Calibri"/>
          <w:b w:val="0"/>
          <w:i w:val="0"/>
          <w:color w:val="243447"/>
          <w:sz w:val="22"/>
        </w:rPr>
        <w:t>Run locally with a reliable offline mock/fallback mode and no required external account.</w:t>
      </w:r>
    </w:p>
    <w:p>
      <w:r>
        <w:br w:type="page"/>
      </w:r>
    </w:p>
    <w:p>
      <w:pPr>
        <w:pStyle w:val="Heading1"/>
      </w:pPr>
      <w:r>
        <w:t>4. Scope</w:t>
      </w:r>
    </w:p>
    <w:p>
      <w:pPr>
        <w:pStyle w:val="Heading2"/>
      </w:pPr>
      <w:r>
        <w:t>4.1 In scope for the current prototype</w:t>
      </w:r>
    </w:p>
    <w:p>
      <w:pPr>
        <w:pStyle w:val="ListBullet"/>
      </w:pPr>
      <w:r>
        <w:rPr>
          <w:rFonts w:ascii="Calibri" w:hAnsi="Calibri"/>
          <w:b w:val="0"/>
          <w:i w:val="0"/>
          <w:color w:val="243447"/>
          <w:sz w:val="22"/>
        </w:rPr>
        <w:t>Validated financial inputs: current cash, daily essentials, safety buffer, dated bills, and earned-but-unpaid payouts.</w:t>
      </w:r>
    </w:p>
    <w:p>
      <w:pPr>
        <w:pStyle w:val="ListBullet"/>
      </w:pPr>
      <w:r>
        <w:rPr>
          <w:rFonts w:ascii="Calibri" w:hAnsi="Calibri"/>
          <w:b w:val="0"/>
          <w:i w:val="0"/>
          <w:color w:val="243447"/>
          <w:sz w:val="22"/>
        </w:rPr>
        <w:t>A chronological 14-day forecast using integer paise and expenses-before-income ordering on the same day.</w:t>
      </w:r>
    </w:p>
    <w:p>
      <w:pPr>
        <w:pStyle w:val="ListBullet"/>
      </w:pPr>
      <w:r>
        <w:rPr>
          <w:rFonts w:ascii="Calibri" w:hAnsi="Calibri"/>
          <w:b w:val="0"/>
          <w:i w:val="0"/>
          <w:color w:val="243447"/>
          <w:sz w:val="22"/>
        </w:rPr>
        <w:t>Worker preferences covering availability, approximate area, transport, skills, and confirmed platform onboarding.</w:t>
      </w:r>
    </w:p>
    <w:p>
      <w:pPr>
        <w:pStyle w:val="ListBullet"/>
      </w:pPr>
      <w:r>
        <w:rPr>
          <w:rFonts w:ascii="Calibri" w:hAnsi="Calibri"/>
          <w:b w:val="0"/>
          <w:i w:val="0"/>
          <w:color w:val="243447"/>
          <w:sz w:val="22"/>
        </w:rPr>
        <w:t>A fictional opportunity catalog with itemized incremental costs, conservative earnings, timing, and feasibility checks.</w:t>
      </w:r>
    </w:p>
    <w:p>
      <w:pPr>
        <w:pStyle w:val="ListBullet"/>
      </w:pPr>
      <w:r>
        <w:rPr>
          <w:rFonts w:ascii="Calibri" w:hAnsi="Calibri"/>
          <w:b w:val="0"/>
          <w:i w:val="0"/>
          <w:color w:val="243447"/>
          <w:sz w:val="22"/>
        </w:rPr>
        <w:t>Transparent six-level ranking of opportunities capable of reducing the first essential shortfall.</w:t>
      </w:r>
    </w:p>
    <w:p>
      <w:pPr>
        <w:pStyle w:val="ListBullet"/>
      </w:pPr>
      <w:r>
        <w:rPr>
          <w:rFonts w:ascii="Calibri" w:hAnsi="Calibri"/>
          <w:b w:val="0"/>
          <w:i w:val="0"/>
          <w:color w:val="243447"/>
          <w:sz w:val="22"/>
        </w:rPr>
        <w:t>A non-mutating, single-opportunity impact preview with baseline-versus-simulation comparison.</w:t>
      </w:r>
    </w:p>
    <w:p>
      <w:pPr>
        <w:pStyle w:val="ListBullet"/>
      </w:pPr>
      <w:r>
        <w:rPr>
          <w:rFonts w:ascii="Calibri" w:hAnsi="Calibri"/>
          <w:b w:val="0"/>
          <w:i w:val="0"/>
          <w:color w:val="243447"/>
          <w:sz w:val="22"/>
        </w:rPr>
        <w:t>Constrained explanations from Groq, optional Gemini, offline mock, or deterministic fallback with truthful source labels.</w:t>
      </w:r>
    </w:p>
    <w:p>
      <w:pPr>
        <w:pStyle w:val="Heading2"/>
      </w:pPr>
      <w:r>
        <w:t>4.2 Explicitly out of scope</w:t>
      </w:r>
    </w:p>
    <w:p>
      <w:pPr>
        <w:pStyle w:val="ListBullet"/>
      </w:pPr>
      <w:r>
        <w:rPr>
          <w:rFonts w:ascii="Calibri" w:hAnsi="Calibri"/>
          <w:b w:val="0"/>
          <w:i w:val="0"/>
          <w:color w:val="243447"/>
          <w:sz w:val="22"/>
        </w:rPr>
        <w:t>Real job discovery, booking, worker dispatch, employer verification, or payment processing.</w:t>
      </w:r>
    </w:p>
    <w:p>
      <w:pPr>
        <w:pStyle w:val="ListBullet"/>
      </w:pPr>
      <w:r>
        <w:rPr>
          <w:rFonts w:ascii="Calibri" w:hAnsi="Calibri"/>
          <w:b w:val="0"/>
          <w:i w:val="0"/>
          <w:color w:val="243447"/>
          <w:sz w:val="22"/>
        </w:rPr>
        <w:t>Bank connections, transaction ingestion, identity verification, credit decisions, lending, or legal/financial advice.</w:t>
      </w:r>
    </w:p>
    <w:p>
      <w:pPr>
        <w:pStyle w:val="ListBullet"/>
      </w:pPr>
      <w:r>
        <w:rPr>
          <w:rFonts w:ascii="Calibri" w:hAnsi="Calibri"/>
          <w:b w:val="0"/>
          <w:i w:val="0"/>
          <w:color w:val="243447"/>
          <w:sz w:val="22"/>
        </w:rPr>
        <w:t>Persistent accounts, cloud database storage, cross-device sync, or transaction history.</w:t>
      </w:r>
    </w:p>
    <w:p>
      <w:pPr>
        <w:pStyle w:val="ListBullet"/>
      </w:pPr>
      <w:r>
        <w:rPr>
          <w:rFonts w:ascii="Calibri" w:hAnsi="Calibri"/>
          <w:b w:val="0"/>
          <w:i w:val="0"/>
          <w:color w:val="243447"/>
          <w:sz w:val="22"/>
        </w:rPr>
        <w:t>Multi-opportunity combinations, optimization across multiple gigs, or automatic work recommendations.</w:t>
      </w:r>
    </w:p>
    <w:p>
      <w:pPr>
        <w:pStyle w:val="ListBullet"/>
      </w:pPr>
      <w:r>
        <w:rPr>
          <w:rFonts w:ascii="Calibri" w:hAnsi="Calibri"/>
          <w:b w:val="0"/>
          <w:i w:val="0"/>
          <w:color w:val="243447"/>
          <w:sz w:val="22"/>
        </w:rPr>
        <w:t>Claims that a preview resolves the full 14-day horizon when later gaps remain.</w:t>
      </w:r>
    </w:p>
    <w:p>
      <w:pPr>
        <w:pStyle w:val="Heading1"/>
      </w:pPr>
      <w:r>
        <w:t>5. Target users and jobs to be done</w:t>
      </w:r>
    </w:p>
    <w:tbl>
      <w:tblPr>
        <w:tblW w:type="dxa" w:w="9360"/>
        <w:tblLayout w:type="fixed"/>
        <w:tblLook w:firstColumn="1" w:firstRow="1" w:lastColumn="0" w:lastRow="0" w:noHBand="0" w:noVBand="1" w:val="04A0"/>
        <w:jc w:val="left"/>
        <w:tblInd w:w="120" w:type="dxa"/>
      </w:tblPr>
      <w:tblGrid>
        <w:gridCol w:w="1900"/>
        <w:gridCol w:w="3000"/>
        <w:gridCol w:w="4460"/>
      </w:tblGrid>
      <w:tr>
        <w:trPr>
          <w:tblHeader/>
          <w:cantSplit/>
        </w:trPr>
        <w:tc>
          <w:tcPr>
            <w:tcW w:type="dxa" w:w="19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shd w:fill="F2F4F7"/>
          </w:tcPr>
          <w:p>
            <w:pPr>
              <w:keepLines/>
              <w:spacing w:after="0"/>
            </w:pPr>
            <w:r>
              <w:rPr>
                <w:rFonts w:ascii="Calibri" w:hAnsi="Calibri"/>
                <w:b/>
                <w:i w:val="0"/>
                <w:color w:val="17324D"/>
                <w:sz w:val="19"/>
              </w:rPr>
              <w:t>User / stakeholder</w:t>
            </w:r>
          </w:p>
        </w:tc>
        <w:tc>
          <w:tcPr>
            <w:tcW w:type="dxa" w:w="30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shd w:fill="F2F4F7"/>
          </w:tcPr>
          <w:p>
            <w:pPr>
              <w:keepLines/>
              <w:spacing w:after="0"/>
            </w:pPr>
            <w:r>
              <w:rPr>
                <w:rFonts w:ascii="Calibri" w:hAnsi="Calibri"/>
                <w:b/>
                <w:i w:val="0"/>
                <w:color w:val="17324D"/>
                <w:sz w:val="19"/>
              </w:rPr>
              <w:t>Primary need</w:t>
            </w:r>
          </w:p>
        </w:tc>
        <w:tc>
          <w:tcPr>
            <w:tcW w:type="dxa" w:w="44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shd w:fill="F2F4F7"/>
          </w:tcPr>
          <w:p>
            <w:pPr>
              <w:keepLines/>
              <w:spacing w:after="0"/>
            </w:pPr>
            <w:r>
              <w:rPr>
                <w:rFonts w:ascii="Calibri" w:hAnsi="Calibri"/>
                <w:b/>
                <w:i w:val="0"/>
                <w:color w:val="17324D"/>
                <w:sz w:val="19"/>
              </w:rPr>
              <w:t>Product response</w:t>
            </w:r>
          </w:p>
        </w:tc>
      </w:tr>
      <w:tr>
        <w:trPr>
          <w:cantSplit/>
        </w:trPr>
        <w:tc>
          <w:tcPr>
            <w:tcW w:type="dxa" w:w="19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Gig worker (primary)</w:t>
            </w:r>
          </w:p>
        </w:tc>
        <w:tc>
          <w:tcPr>
            <w:tcW w:type="dxa" w:w="30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Know when essentials exceed available cash and what one option might change.</w:t>
            </w:r>
          </w:p>
        </w:tc>
        <w:tc>
          <w:tcPr>
            <w:tcW w:type="dxa" w:w="44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Plain-language gap summary, 14-day timeline, feasibility reasons, and hypothetical preview.</w:t>
            </w:r>
          </w:p>
        </w:tc>
      </w:tr>
      <w:tr>
        <w:trPr>
          <w:cantSplit/>
        </w:trPr>
        <w:tc>
          <w:tcPr>
            <w:tcW w:type="dxa" w:w="19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Mentor or reviewer</w:t>
            </w:r>
          </w:p>
        </w:tc>
        <w:tc>
          <w:tcPr>
            <w:tcW w:type="dxa" w:w="30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Assess whether results are trustworthy and scoped honestly.</w:t>
            </w:r>
          </w:p>
        </w:tc>
        <w:tc>
          <w:tcPr>
            <w:tcW w:type="dxa" w:w="44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Visible rules, deterministic tests, disclosures, and explainable ranking metrics.</w:t>
            </w:r>
          </w:p>
        </w:tc>
      </w:tr>
      <w:tr>
        <w:trPr>
          <w:cantSplit/>
        </w:trPr>
        <w:tc>
          <w:tcPr>
            <w:tcW w:type="dxa" w:w="19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Developer / operator</w:t>
            </w:r>
          </w:p>
        </w:tc>
        <w:tc>
          <w:tcPr>
            <w:tcW w:type="dxa" w:w="30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Run and verify the demo without fragile external dependencies.</w:t>
            </w:r>
          </w:p>
        </w:tc>
        <w:tc>
          <w:tcPr>
            <w:tcW w:type="dxa" w:w="44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Offline mock mode, local gateway, typed engines, tests, typecheck, and production build.</w:t>
            </w:r>
          </w:p>
        </w:tc>
      </w:tr>
    </w:tbl>
    <w:p>
      <w:pPr>
        <w:spacing w:after="0"/>
      </w:pPr>
    </w:p>
    <w:p>
      <w:pPr>
        <w:pStyle w:val="Heading1"/>
      </w:pPr>
      <w:r>
        <w:t>6. Primary user journey</w:t>
      </w:r>
    </w:p>
    <w:p>
      <w:pPr>
        <w:pStyle w:val="ListNumber"/>
      </w:pPr>
      <w:r>
        <w:rPr>
          <w:rFonts w:ascii="Calibri" w:hAnsi="Calibri"/>
          <w:b w:val="0"/>
          <w:i w:val="0"/>
          <w:color w:val="243447"/>
          <w:sz w:val="22"/>
        </w:rPr>
        <w:t>Review or edit starting cash, essentials, buffer, bills, payouts, and forecast start date.</w:t>
      </w:r>
    </w:p>
    <w:p>
      <w:pPr>
        <w:pStyle w:val="ListNumber"/>
      </w:pPr>
      <w:r>
        <w:rPr>
          <w:rFonts w:ascii="Calibri" w:hAnsi="Calibri"/>
          <w:b w:val="0"/>
          <w:i w:val="0"/>
          <w:color w:val="243447"/>
          <w:sz w:val="22"/>
        </w:rPr>
        <w:t>Read the first-gap summary and optionally expand the full 14-day timeline.</w:t>
      </w:r>
    </w:p>
    <w:p>
      <w:pPr>
        <w:pStyle w:val="ListNumber"/>
      </w:pPr>
      <w:r>
        <w:rPr>
          <w:rFonts w:ascii="Calibri" w:hAnsi="Calibri"/>
          <w:b w:val="0"/>
          <w:i w:val="0"/>
          <w:color w:val="243447"/>
          <w:sz w:val="22"/>
        </w:rPr>
        <w:t>Set availability, area, transport, skills, and confirmed platform onboarding.</w:t>
      </w:r>
    </w:p>
    <w:p>
      <w:pPr>
        <w:pStyle w:val="ListNumber"/>
      </w:pPr>
      <w:r>
        <w:rPr>
          <w:rFonts w:ascii="Calibri" w:hAnsi="Calibri"/>
          <w:b w:val="0"/>
          <w:i w:val="0"/>
          <w:color w:val="243447"/>
          <w:sz w:val="22"/>
        </w:rPr>
        <w:t>Review opportunities grouped by immediate-gap fit, late payout, uncertainty, or conflict.</w:t>
      </w:r>
    </w:p>
    <w:p>
      <w:pPr>
        <w:pStyle w:val="ListNumber"/>
      </w:pPr>
      <w:r>
        <w:rPr>
          <w:rFonts w:ascii="Calibri" w:hAnsi="Calibri"/>
          <w:b w:val="0"/>
          <w:i w:val="0"/>
          <w:color w:val="243447"/>
          <w:sz w:val="22"/>
        </w:rPr>
        <w:t>Open one feasible preview and compare its hypothetical trajectory with the baseline.</w:t>
      </w:r>
    </w:p>
    <w:p>
      <w:pPr>
        <w:pStyle w:val="ListNumber"/>
      </w:pPr>
      <w:r>
        <w:rPr>
          <w:rFonts w:ascii="Calibri" w:hAnsi="Calibri"/>
          <w:b w:val="0"/>
          <w:i w:val="0"/>
          <w:color w:val="243447"/>
          <w:sz w:val="22"/>
        </w:rPr>
        <w:t>Close the preview, continue without extra work, or reset to the fictional demo state.</w:t>
      </w:r>
    </w:p>
    <w:p>
      <w:r>
        <w:br w:type="page"/>
      </w:r>
    </w:p>
    <w:p>
      <w:pPr>
        <w:pStyle w:val="Heading1"/>
      </w:pPr>
      <w:r>
        <w:t>7. Functional requirements</w:t>
      </w:r>
    </w:p>
    <w:tbl>
      <w:tblPr>
        <w:tblW w:type="dxa" w:w="9360"/>
        <w:tblLayout w:type="fixed"/>
        <w:tblLook w:firstColumn="1" w:firstRow="1" w:lastColumn="0" w:lastRow="0" w:noHBand="0" w:noVBand="1" w:val="04A0"/>
        <w:jc w:val="left"/>
        <w:tblInd w:w="120" w:type="dxa"/>
      </w:tblPr>
      <w:tblGrid>
        <w:gridCol w:w="720"/>
        <w:gridCol w:w="900"/>
        <w:gridCol w:w="3820"/>
        <w:gridCol w:w="3920"/>
      </w:tblGrid>
      <w:tr>
        <w:trPr>
          <w:tblHeader/>
          <w:cantSplit/>
        </w:trPr>
        <w:tc>
          <w:tcPr>
            <w:tcW w:type="dxa" w:w="7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shd w:fill="F2F4F7"/>
          </w:tcPr>
          <w:p>
            <w:pPr>
              <w:keepLines/>
              <w:spacing w:after="0"/>
            </w:pPr>
            <w:r>
              <w:rPr>
                <w:rFonts w:ascii="Calibri" w:hAnsi="Calibri"/>
                <w:b/>
                <w:i w:val="0"/>
                <w:color w:val="17324D"/>
                <w:sz w:val="19"/>
              </w:rPr>
              <w:t>ID</w:t>
            </w:r>
          </w:p>
        </w:tc>
        <w:tc>
          <w:tcPr>
            <w:tcW w:type="dxa" w:w="9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shd w:fill="F2F4F7"/>
          </w:tcPr>
          <w:p>
            <w:pPr>
              <w:keepLines/>
              <w:spacing w:after="0"/>
            </w:pPr>
            <w:r>
              <w:rPr>
                <w:rFonts w:ascii="Calibri" w:hAnsi="Calibri"/>
                <w:b/>
                <w:i w:val="0"/>
                <w:color w:val="17324D"/>
                <w:sz w:val="19"/>
              </w:rPr>
              <w:t>Priority</w:t>
            </w:r>
          </w:p>
        </w:tc>
        <w:tc>
          <w:tcPr>
            <w:tcW w:type="dxa" w:w="38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shd w:fill="F2F4F7"/>
          </w:tcPr>
          <w:p>
            <w:pPr>
              <w:keepLines/>
              <w:spacing w:after="0"/>
            </w:pPr>
            <w:r>
              <w:rPr>
                <w:rFonts w:ascii="Calibri" w:hAnsi="Calibri"/>
                <w:b/>
                <w:i w:val="0"/>
                <w:color w:val="17324D"/>
                <w:sz w:val="19"/>
              </w:rPr>
              <w:t>Requirement</w:t>
            </w:r>
          </w:p>
        </w:tc>
        <w:tc>
          <w:tcPr>
            <w:tcW w:type="dxa" w:w="39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shd w:fill="F2F4F7"/>
          </w:tcPr>
          <w:p>
            <w:pPr>
              <w:keepLines/>
              <w:spacing w:after="0"/>
            </w:pPr>
            <w:r>
              <w:rPr>
                <w:rFonts w:ascii="Calibri" w:hAnsi="Calibri"/>
                <w:b/>
                <w:i w:val="0"/>
                <w:color w:val="17324D"/>
                <w:sz w:val="19"/>
              </w:rPr>
              <w:t>Acceptance signal</w:t>
            </w:r>
          </w:p>
        </w:tc>
      </w:tr>
      <w:tr>
        <w:trPr>
          <w:cantSplit/>
        </w:trPr>
        <w:tc>
          <w:tcPr>
            <w:tcW w:type="dxa" w:w="7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FR-01</w:t>
            </w:r>
          </w:p>
        </w:tc>
        <w:tc>
          <w:tcPr>
            <w:tcW w:type="dxa" w:w="9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Must</w:t>
            </w:r>
          </w:p>
        </w:tc>
        <w:tc>
          <w:tcPr>
            <w:tcW w:type="dxa" w:w="38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Accept non-negative INR values with at most two decimal places and valid calendar dates.</w:t>
            </w:r>
          </w:p>
        </w:tc>
        <w:tc>
          <w:tcPr>
            <w:tcW w:type="dxa" w:w="39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Invalid data shows inline errors and is never silently defaulted.</w:t>
            </w:r>
          </w:p>
        </w:tc>
      </w:tr>
      <w:tr>
        <w:trPr>
          <w:cantSplit/>
        </w:trPr>
        <w:tc>
          <w:tcPr>
            <w:tcW w:type="dxa" w:w="7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FR-02</w:t>
            </w:r>
          </w:p>
        </w:tc>
        <w:tc>
          <w:tcPr>
            <w:tcW w:type="dxa" w:w="9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Must</w:t>
            </w:r>
          </w:p>
        </w:tc>
        <w:tc>
          <w:tcPr>
            <w:tcW w:type="dxa" w:w="38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Forecast exactly Day 1 through Day 14 using integer paise.</w:t>
            </w:r>
          </w:p>
        </w:tc>
        <w:tc>
          <w:tcPr>
            <w:tcW w:type="dxa" w:w="39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Day 15+ events are excluded; calculations avoid floating-point drift.</w:t>
            </w:r>
          </w:p>
        </w:tc>
      </w:tr>
      <w:tr>
        <w:trPr>
          <w:cantSplit/>
        </w:trPr>
        <w:tc>
          <w:tcPr>
            <w:tcW w:type="dxa" w:w="7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FR-03</w:t>
            </w:r>
          </w:p>
        </w:tc>
        <w:tc>
          <w:tcPr>
            <w:tcW w:type="dxa" w:w="9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Must</w:t>
            </w:r>
          </w:p>
        </w:tc>
        <w:tc>
          <w:tcPr>
            <w:tcW w:type="dxa" w:w="38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Apply expenses before payouts within each day.</w:t>
            </w:r>
          </w:p>
        </w:tc>
        <w:tc>
          <w:tcPr>
            <w:tcW w:type="dxa" w:w="39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Within-day lowest cash reveals a gap even when a later payout restores closing cash.</w:t>
            </w:r>
          </w:p>
        </w:tc>
      </w:tr>
      <w:tr>
        <w:trPr>
          <w:cantSplit/>
        </w:trPr>
        <w:tc>
          <w:tcPr>
            <w:tcW w:type="dxa" w:w="7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FR-04</w:t>
            </w:r>
          </w:p>
        </w:tc>
        <w:tc>
          <w:tcPr>
            <w:tcW w:type="dxa" w:w="9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Must</w:t>
            </w:r>
          </w:p>
        </w:tc>
        <w:tc>
          <w:tcPr>
            <w:tcW w:type="dxa" w:w="38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Reserve overdue unpaid bills once on Day 1 and exclude past expected payouts.</w:t>
            </w:r>
          </w:p>
        </w:tc>
        <w:tc>
          <w:tcPr>
            <w:tcW w:type="dxa" w:w="39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No duplicate overdue bill; excluded payout produces a notice.</w:t>
            </w:r>
          </w:p>
        </w:tc>
      </w:tr>
      <w:tr>
        <w:trPr>
          <w:cantSplit/>
        </w:trPr>
        <w:tc>
          <w:tcPr>
            <w:tcW w:type="dxa" w:w="7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FR-05</w:t>
            </w:r>
          </w:p>
        </w:tc>
        <w:tc>
          <w:tcPr>
            <w:tcW w:type="dxa" w:w="9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Must</w:t>
            </w:r>
          </w:p>
        </w:tc>
        <w:tc>
          <w:tcPr>
            <w:tcW w:type="dxa" w:w="38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Report earliest essential shortfall separately from first safety-buffer breach.</w:t>
            </w:r>
          </w:p>
        </w:tc>
        <w:tc>
          <w:tcPr>
            <w:tcW w:type="dxa" w:w="39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Summary does not double-count the buffer as an expense.</w:t>
            </w:r>
          </w:p>
        </w:tc>
      </w:tr>
      <w:tr>
        <w:trPr>
          <w:cantSplit/>
        </w:trPr>
        <w:tc>
          <w:tcPr>
            <w:tcW w:type="dxa" w:w="7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FR-06</w:t>
            </w:r>
          </w:p>
        </w:tc>
        <w:tc>
          <w:tcPr>
            <w:tcW w:type="dxa" w:w="9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Must</w:t>
            </w:r>
          </w:p>
        </w:tc>
        <w:tc>
          <w:tcPr>
            <w:tcW w:type="dxa" w:w="38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Evaluate schedule including travel, transport, skills, onboarding, cost affordability, and payout timing.</w:t>
            </w:r>
          </w:p>
        </w:tc>
        <w:tc>
          <w:tcPr>
            <w:tcW w:type="dxa" w:w="39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Each card has a stable category and explicit reasons.</w:t>
            </w:r>
          </w:p>
        </w:tc>
      </w:tr>
      <w:tr>
        <w:trPr>
          <w:cantSplit/>
        </w:trPr>
        <w:tc>
          <w:tcPr>
            <w:tcW w:type="dxa" w:w="7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FR-07</w:t>
            </w:r>
          </w:p>
        </w:tc>
        <w:tc>
          <w:tcPr>
            <w:tcW w:type="dxa" w:w="9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Must</w:t>
            </w:r>
          </w:p>
        </w:tc>
        <w:tc>
          <w:tcPr>
            <w:tcW w:type="dxa" w:w="38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Rank qualifying opportunities lexicographically using six published criteria.</w:t>
            </w:r>
          </w:p>
        </w:tc>
        <w:tc>
          <w:tcPr>
            <w:tcW w:type="dxa" w:w="39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Late, uncertain, ineligible, unaffordable, and zero-reduction items are excluded.</w:t>
            </w:r>
          </w:p>
        </w:tc>
      </w:tr>
      <w:tr>
        <w:trPr>
          <w:cantSplit/>
        </w:trPr>
        <w:tc>
          <w:tcPr>
            <w:tcW w:type="dxa" w:w="7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FR-08</w:t>
            </w:r>
          </w:p>
        </w:tc>
        <w:tc>
          <w:tcPr>
            <w:tcW w:type="dxa" w:w="9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Must</w:t>
            </w:r>
          </w:p>
        </w:tc>
        <w:tc>
          <w:tcPr>
            <w:tcW w:type="dxa" w:w="38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Preview only one opportunity without mutating baseline inputs.</w:t>
            </w:r>
          </w:p>
        </w:tc>
        <w:tc>
          <w:tcPr>
            <w:tcW w:type="dxa" w:w="39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Selecting another replaces the preview; closing restores baseline view.</w:t>
            </w:r>
          </w:p>
        </w:tc>
      </w:tr>
      <w:tr>
        <w:trPr>
          <w:cantSplit/>
        </w:trPr>
        <w:tc>
          <w:tcPr>
            <w:tcW w:type="dxa" w:w="7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FR-09</w:t>
            </w:r>
          </w:p>
        </w:tc>
        <w:tc>
          <w:tcPr>
            <w:tcW w:type="dxa" w:w="9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Must</w:t>
            </w:r>
          </w:p>
        </w:tc>
        <w:tc>
          <w:tcPr>
            <w:tcW w:type="dxa" w:w="38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Invalidate preview and in-flight explanations after relevant input changes.</w:t>
            </w:r>
          </w:p>
        </w:tc>
        <w:tc>
          <w:tcPr>
            <w:tcW w:type="dxa" w:w="39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Stale results never overwrite the new scenario.</w:t>
            </w:r>
          </w:p>
        </w:tc>
      </w:tr>
      <w:tr>
        <w:trPr>
          <w:cantSplit/>
        </w:trPr>
        <w:tc>
          <w:tcPr>
            <w:tcW w:type="dxa" w:w="7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FR-10</w:t>
            </w:r>
          </w:p>
        </w:tc>
        <w:tc>
          <w:tcPr>
            <w:tcW w:type="dxa" w:w="9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Must</w:t>
            </w:r>
          </w:p>
        </w:tc>
        <w:tc>
          <w:tcPr>
            <w:tcW w:type="dxa" w:w="38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Constrain AI output to approved message and fact IDs, then validate applicability.</w:t>
            </w:r>
          </w:p>
        </w:tc>
        <w:tc>
          <w:tcPr>
            <w:tcW w:type="dxa" w:w="39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Any invalid, missing, contradictory, or timed-out response falls back deterministically.</w:t>
            </w:r>
          </w:p>
        </w:tc>
      </w:tr>
      <w:tr>
        <w:trPr>
          <w:cantSplit/>
        </w:trPr>
        <w:tc>
          <w:tcPr>
            <w:tcW w:type="dxa" w:w="7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FR-11</w:t>
            </w:r>
          </w:p>
        </w:tc>
        <w:tc>
          <w:tcPr>
            <w:tcW w:type="dxa" w:w="9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Must</w:t>
            </w:r>
          </w:p>
        </w:tc>
        <w:tc>
          <w:tcPr>
            <w:tcW w:type="dxa" w:w="38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Label fictional opportunities and explanation source truthfully.</w:t>
            </w:r>
          </w:p>
        </w:tc>
        <w:tc>
          <w:tcPr>
            <w:tcW w:type="dxa" w:w="39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No UI implies a booking or live AI when mock/fallback is active.</w:t>
            </w:r>
          </w:p>
        </w:tc>
      </w:tr>
      <w:tr>
        <w:trPr>
          <w:cantSplit/>
        </w:trPr>
        <w:tc>
          <w:tcPr>
            <w:tcW w:type="dxa" w:w="7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FR-12</w:t>
            </w:r>
          </w:p>
        </w:tc>
        <w:tc>
          <w:tcPr>
            <w:tcW w:type="dxa" w:w="9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Should</w:t>
            </w:r>
          </w:p>
        </w:tc>
        <w:tc>
          <w:tcPr>
            <w:tcW w:type="dxa" w:w="38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Support keyboard use, focus restoration, responsive layouts, and horizontally scrollable tables.</w:t>
            </w:r>
          </w:p>
        </w:tc>
        <w:tc>
          <w:tcPr>
            <w:tcW w:type="dxa" w:w="392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Manual checks pass at desktop and 375px width.</w:t>
            </w:r>
          </w:p>
        </w:tc>
      </w:tr>
    </w:tbl>
    <w:p>
      <w:pPr>
        <w:spacing w:after="0"/>
      </w:pPr>
    </w:p>
    <w:p>
      <w:pPr>
        <w:pStyle w:val="Heading1"/>
      </w:pPr>
      <w:r>
        <w:t>8. Deterministic business rules</w:t>
      </w:r>
    </w:p>
    <w:tbl>
      <w:tblPr>
        <w:tblW w:type="dxa" w:w="9360"/>
        <w:tblLayout w:type="fixed"/>
        <w:tblLook w:firstColumn="1" w:firstRow="1" w:lastColumn="0" w:lastRow="0" w:noHBand="0" w:noVBand="1" w:val="04A0"/>
        <w:jc w:val="left"/>
        <w:tblInd w:w="120" w:type="dxa"/>
      </w:tblPr>
      <w:tblGrid>
        <w:gridCol w:w="2400"/>
        <w:gridCol w:w="6960"/>
      </w:tblGrid>
      <w:tr>
        <w:trPr>
          <w:tblHeader/>
          <w:cantSplit/>
        </w:trPr>
        <w:tc>
          <w:tcPr>
            <w:tcW w:type="dxa" w:w="24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shd w:fill="F2F4F7"/>
          </w:tcPr>
          <w:p>
            <w:pPr>
              <w:keepLines/>
              <w:spacing w:after="0"/>
            </w:pPr>
            <w:r>
              <w:rPr>
                <w:rFonts w:ascii="Calibri" w:hAnsi="Calibri"/>
                <w:b/>
                <w:i w:val="0"/>
                <w:color w:val="17324D"/>
                <w:sz w:val="19"/>
              </w:rPr>
              <w:t>Rule</w:t>
            </w:r>
          </w:p>
        </w:tc>
        <w:tc>
          <w:tcPr>
            <w:tcW w:type="dxa" w:w="69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shd w:fill="F2F4F7"/>
          </w:tcPr>
          <w:p>
            <w:pPr>
              <w:keepLines/>
              <w:spacing w:after="0"/>
            </w:pPr>
            <w:r>
              <w:rPr>
                <w:rFonts w:ascii="Calibri" w:hAnsi="Calibri"/>
                <w:b/>
                <w:i w:val="0"/>
                <w:color w:val="17324D"/>
                <w:sz w:val="19"/>
              </w:rPr>
              <w:t>Definition</w:t>
            </w:r>
          </w:p>
        </w:tc>
      </w:tr>
      <w:tr>
        <w:trPr>
          <w:cantSplit/>
        </w:trPr>
        <w:tc>
          <w:tcPr>
            <w:tcW w:type="dxa" w:w="24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Essential shortfall</w:t>
            </w:r>
          </w:p>
        </w:tc>
        <w:tc>
          <w:tcPr>
            <w:tcW w:type="dxa" w:w="69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The first chronological event at which cash falls below ₹0.</w:t>
            </w:r>
          </w:p>
        </w:tc>
      </w:tr>
      <w:tr>
        <w:trPr>
          <w:cantSplit/>
        </w:trPr>
        <w:tc>
          <w:tcPr>
            <w:tcW w:type="dxa" w:w="24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Buffer breach</w:t>
            </w:r>
          </w:p>
        </w:tc>
        <w:tc>
          <w:tcPr>
            <w:tcW w:type="dxa" w:w="69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The first event at which cash falls below the user-selected safety buffer; it is not an additional charge.</w:t>
            </w:r>
          </w:p>
        </w:tc>
      </w:tr>
      <w:tr>
        <w:trPr>
          <w:cantSplit/>
        </w:trPr>
        <w:tc>
          <w:tcPr>
            <w:tcW w:type="dxa" w:w="24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Conservative net earnings</w:t>
            </w:r>
          </w:p>
        </w:tc>
        <w:tc>
          <w:tcPr>
            <w:tcW w:type="dxa" w:w="69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Lower-bound gross earnings minus itemized incremental costs, each deducted exactly once.</w:t>
            </w:r>
          </w:p>
        </w:tc>
      </w:tr>
      <w:tr>
        <w:trPr>
          <w:cantSplit/>
        </w:trPr>
        <w:tc>
          <w:tcPr>
            <w:tcW w:type="dxa" w:w="24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Immediate-gap candidate</w:t>
            </w:r>
          </w:p>
        </w:tc>
        <w:tc>
          <w:tcPr>
            <w:tcW w:type="dxa" w:w="69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A feasible opportunity whose payout arrives in time and reduces the deficit at the original shortfall event.</w:t>
            </w:r>
          </w:p>
        </w:tc>
      </w:tr>
      <w:tr>
        <w:trPr>
          <w:cantSplit/>
        </w:trPr>
        <w:tc>
          <w:tcPr>
            <w:tcW w:type="dxa" w:w="24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Affordability</w:t>
            </w:r>
          </w:p>
        </w:tc>
        <w:tc>
          <w:tcPr>
            <w:tcW w:type="dxa" w:w="69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Upfront candidate costs must not create or worsen an essential shortfall before payout.</w:t>
            </w:r>
          </w:p>
        </w:tc>
      </w:tr>
      <w:tr>
        <w:trPr>
          <w:cantSplit/>
        </w:trPr>
        <w:tc>
          <w:tcPr>
            <w:tcW w:type="dxa" w:w="24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Ranking order</w:t>
            </w:r>
          </w:p>
        </w:tc>
        <w:tc>
          <w:tcPr>
            <w:tcW w:type="dxa" w:w="69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Deficit reduction; remaining buffer-inclusive gap; upfront cost; conservative net/hour; return-trip travel; opportunity ID.</w:t>
            </w:r>
          </w:p>
        </w:tc>
      </w:tr>
    </w:tbl>
    <w:p>
      <w:pPr>
        <w:spacing w:after="0"/>
      </w:pPr>
    </w:p>
    <w:p>
      <w:r>
        <w:br w:type="page"/>
      </w:r>
    </w:p>
    <w:p>
      <w:pPr>
        <w:pStyle w:val="Heading1"/>
      </w:pPr>
      <w:r>
        <w:t>9. Experience and content requirements</w:t>
      </w:r>
    </w:p>
    <w:p>
      <w:pPr>
        <w:pStyle w:val="ListBullet"/>
      </w:pPr>
      <w:r>
        <w:rPr>
          <w:rFonts w:ascii="Calibri" w:hAnsi="Calibri"/>
          <w:b w:val="0"/>
          <w:i w:val="0"/>
          <w:color w:val="243447"/>
          <w:sz w:val="22"/>
        </w:rPr>
        <w:t>Opening state must display “Fictional demo — sample money and opportunities.”</w:t>
      </w:r>
    </w:p>
    <w:p>
      <w:pPr>
        <w:pStyle w:val="ListBullet"/>
      </w:pPr>
      <w:r>
        <w:rPr>
          <w:rFonts w:ascii="Calibri" w:hAnsi="Calibri"/>
          <w:b w:val="0"/>
          <w:i w:val="0"/>
          <w:color w:val="243447"/>
          <w:sz w:val="22"/>
        </w:rPr>
        <w:t>Primary summary uses plain language and names the amount and day of the first essentials gap.</w:t>
      </w:r>
    </w:p>
    <w:p>
      <w:pPr>
        <w:pStyle w:val="ListBullet"/>
      </w:pPr>
      <w:r>
        <w:rPr>
          <w:rFonts w:ascii="Calibri" w:hAnsi="Calibri"/>
          <w:b w:val="0"/>
          <w:i w:val="0"/>
          <w:color w:val="243447"/>
          <w:sz w:val="22"/>
        </w:rPr>
        <w:t>The full timeline is progressive detail, not the first visual burden.</w:t>
      </w:r>
    </w:p>
    <w:p>
      <w:pPr>
        <w:pStyle w:val="ListBullet"/>
      </w:pPr>
      <w:r>
        <w:rPr>
          <w:rFonts w:ascii="Calibri" w:hAnsi="Calibri"/>
          <w:b w:val="0"/>
          <w:i w:val="0"/>
          <w:color w:val="243447"/>
          <w:sz w:val="22"/>
        </w:rPr>
        <w:t>Opportunity cards expose gross pay, itemized costs, net pay, work/travel timing, payout timing, category, and reasons.</w:t>
      </w:r>
    </w:p>
    <w:p>
      <w:pPr>
        <w:pStyle w:val="ListBullet"/>
      </w:pPr>
      <w:r>
        <w:rPr>
          <w:rFonts w:ascii="Calibri" w:hAnsi="Calibri"/>
          <w:b w:val="0"/>
          <w:i w:val="0"/>
          <w:color w:val="243447"/>
          <w:sz w:val="22"/>
        </w:rPr>
        <w:t>Preview language must say “Hypothetical preview — no work booked” and disclose any remaining later shortfall.</w:t>
      </w:r>
    </w:p>
    <w:p>
      <w:pPr>
        <w:pStyle w:val="ListBullet"/>
      </w:pPr>
      <w:r>
        <w:rPr>
          <w:rFonts w:ascii="Calibri" w:hAnsi="Calibri"/>
          <w:b w:val="0"/>
          <w:i w:val="0"/>
          <w:color w:val="243447"/>
          <w:sz w:val="22"/>
        </w:rPr>
        <w:t>The neutral “Continue without extra work” path must remain visible and must not alter the baseline.</w:t>
      </w:r>
    </w:p>
    <w:p>
      <w:pPr>
        <w:pStyle w:val="ListBullet"/>
      </w:pPr>
      <w:r>
        <w:rPr>
          <w:rFonts w:ascii="Calibri" w:hAnsi="Calibri"/>
          <w:b w:val="0"/>
          <w:i w:val="0"/>
          <w:color w:val="243447"/>
          <w:sz w:val="22"/>
        </w:rPr>
        <w:t>Explanation badges distinguish AI-assisted, mock demo, and standard fallback sources.</w:t>
      </w:r>
    </w:p>
    <w:p>
      <w:pPr>
        <w:pStyle w:val="Heading1"/>
      </w:pPr>
      <w:r>
        <w:t>10. System requirements and architecture</w:t>
      </w:r>
    </w:p>
    <w:tbl>
      <w:tblPr>
        <w:tblW w:type="dxa" w:w="9360"/>
        <w:tblLayout w:type="fixed"/>
        <w:tblLook w:firstColumn="1" w:firstRow="1" w:lastColumn="0" w:lastRow="0" w:noHBand="0" w:noVBand="1" w:val="04A0"/>
        <w:jc w:val="left"/>
        <w:tblInd w:w="120" w:type="dxa"/>
      </w:tblPr>
      <w:tblGrid>
        <w:gridCol w:w="1800"/>
        <w:gridCol w:w="3300"/>
        <w:gridCol w:w="4260"/>
      </w:tblGrid>
      <w:tr>
        <w:trPr>
          <w:tblHeader/>
          <w:cantSplit/>
        </w:trPr>
        <w:tc>
          <w:tcPr>
            <w:tcW w:type="dxa" w:w="18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shd w:fill="F2F4F7"/>
          </w:tcPr>
          <w:p>
            <w:pPr>
              <w:keepLines/>
              <w:spacing w:after="0"/>
            </w:pPr>
            <w:r>
              <w:rPr>
                <w:rFonts w:ascii="Calibri" w:hAnsi="Calibri"/>
                <w:b/>
                <w:i w:val="0"/>
                <w:color w:val="17324D"/>
                <w:sz w:val="19"/>
              </w:rPr>
              <w:t>Layer</w:t>
            </w:r>
          </w:p>
        </w:tc>
        <w:tc>
          <w:tcPr>
            <w:tcW w:type="dxa" w:w="33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shd w:fill="F2F4F7"/>
          </w:tcPr>
          <w:p>
            <w:pPr>
              <w:keepLines/>
              <w:spacing w:after="0"/>
            </w:pPr>
            <w:r>
              <w:rPr>
                <w:rFonts w:ascii="Calibri" w:hAnsi="Calibri"/>
                <w:b/>
                <w:i w:val="0"/>
                <w:color w:val="17324D"/>
                <w:sz w:val="19"/>
              </w:rPr>
              <w:t>Responsibility</w:t>
            </w:r>
          </w:p>
        </w:tc>
        <w:tc>
          <w:tcPr>
            <w:tcW w:type="dxa" w:w="42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shd w:fill="F2F4F7"/>
          </w:tcPr>
          <w:p>
            <w:pPr>
              <w:keepLines/>
              <w:spacing w:after="0"/>
            </w:pPr>
            <w:r>
              <w:rPr>
                <w:rFonts w:ascii="Calibri" w:hAnsi="Calibri"/>
                <w:b/>
                <w:i w:val="0"/>
                <w:color w:val="17324D"/>
                <w:sz w:val="19"/>
              </w:rPr>
              <w:t>Current implementation</w:t>
            </w:r>
          </w:p>
        </w:tc>
      </w:tr>
      <w:tr>
        <w:trPr>
          <w:cantSplit/>
        </w:trPr>
        <w:tc>
          <w:tcPr>
            <w:tcW w:type="dxa" w:w="18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Client UI</w:t>
            </w:r>
          </w:p>
        </w:tc>
        <w:tc>
          <w:tcPr>
            <w:tcW w:type="dxa" w:w="33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Collect inputs, show timeline/catalog/preview, manage invalidation and focus.</w:t>
            </w:r>
          </w:p>
        </w:tc>
        <w:tc>
          <w:tcPr>
            <w:tcW w:type="dxa" w:w="42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React 18 + TypeScript + plain CSS; in-memory state.</w:t>
            </w:r>
          </w:p>
        </w:tc>
      </w:tr>
      <w:tr>
        <w:trPr>
          <w:cantSplit/>
        </w:trPr>
        <w:tc>
          <w:tcPr>
            <w:tcW w:type="dxa" w:w="18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Deterministic engines</w:t>
            </w:r>
          </w:p>
        </w:tc>
        <w:tc>
          <w:tcPr>
            <w:tcW w:type="dxa" w:w="33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Cash flow, opportunity evaluation, simulation, ranking, formatting, and fact extraction.</w:t>
            </w:r>
          </w:p>
        </w:tc>
        <w:tc>
          <w:tcPr>
            <w:tcW w:type="dxa" w:w="42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Pure TypeScript utilities under src/utils.</w:t>
            </w:r>
          </w:p>
        </w:tc>
      </w:tr>
      <w:tr>
        <w:trPr>
          <w:cantSplit/>
        </w:trPr>
        <w:tc>
          <w:tcPr>
            <w:tcW w:type="dxa" w:w="18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Local explanation gateway</w:t>
            </w:r>
          </w:p>
        </w:tc>
        <w:tc>
          <w:tcPr>
            <w:tcW w:type="dxa" w:w="33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Validate ≤64 KB requests, select provider, enforce timeout, cache/coalesce requests.</w:t>
            </w:r>
          </w:p>
        </w:tc>
        <w:tc>
          <w:tcPr>
            <w:tcW w:type="dxa" w:w="42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Node HTTP service on 127.0.0.1:3001; Vite /api proxy.</w:t>
            </w:r>
          </w:p>
        </w:tc>
      </w:tr>
      <w:tr>
        <w:trPr>
          <w:cantSplit/>
        </w:trPr>
        <w:tc>
          <w:tcPr>
            <w:tcW w:type="dxa" w:w="18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Provider boundary</w:t>
            </w:r>
          </w:p>
        </w:tc>
        <w:tc>
          <w:tcPr>
            <w:tcW w:type="dxa" w:w="33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Return only constrained message references.</w:t>
            </w:r>
          </w:p>
        </w:tc>
        <w:tc>
          <w:tcPr>
            <w:tcW w:type="dxa" w:w="42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Groq primary; Gemini optional; mock default; deterministic fallback.</w:t>
            </w:r>
          </w:p>
        </w:tc>
      </w:tr>
      <w:tr>
        <w:trPr>
          <w:cantSplit/>
        </w:trPr>
        <w:tc>
          <w:tcPr>
            <w:tcW w:type="dxa" w:w="18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Verification</w:t>
            </w:r>
          </w:p>
        </w:tc>
        <w:tc>
          <w:tcPr>
            <w:tcW w:type="dxa" w:w="33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Prevent logic regressions and unsafe claims.</w:t>
            </w:r>
          </w:p>
        </w:tc>
        <w:tc>
          <w:tcPr>
            <w:tcW w:type="dxa" w:w="42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Vitest, React Testing Library, TypeScript checks, Vite build, GitHub Actions.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cantSplit/>
        </w:trPr>
        <w:tc>
          <w:tcPr>
            <w:tcW w:type="dxa" w:w="93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shd w:fill="FFF6E5"/>
          </w:tcPr>
          <w:p>
            <w:pPr>
              <w:keepLines/>
              <w:spacing w:after="40"/>
            </w:pPr>
            <w:r>
              <w:rPr>
                <w:rFonts w:ascii="Calibri" w:hAnsi="Calibri"/>
                <w:b/>
                <w:i w:val="0"/>
                <w:color w:val="0F766E"/>
                <w:sz w:val="20"/>
              </w:rPr>
              <w:t xml:space="preserve">TRUST BOUNDARY  </w:t>
            </w:r>
            <w:r>
              <w:rPr>
                <w:rFonts w:ascii="Calibri" w:hAnsi="Calibri"/>
                <w:b w:val="0"/>
                <w:i w:val="0"/>
                <w:color w:val="243447"/>
                <w:sz w:val="20"/>
              </w:rPr>
              <w:t>Client-entered scenario facts are not verified bank or employment records. Provider output is advisory presentation only; application-owned rules and templates remain authoritative.</w:t>
            </w:r>
          </w:p>
        </w:tc>
      </w:tr>
    </w:tbl>
    <w:p>
      <w:pPr>
        <w:spacing w:after="0"/>
      </w:pPr>
    </w:p>
    <w:p>
      <w:pPr>
        <w:pStyle w:val="Heading1"/>
      </w:pPr>
      <w:r>
        <w:t>11. Non-functional requirements</w:t>
      </w:r>
    </w:p>
    <w:p>
      <w:pPr>
        <w:pStyle w:val="ListBullet"/>
      </w:pPr>
      <w:r>
        <w:rPr>
          <w:rFonts w:ascii="Calibri" w:hAnsi="Calibri"/>
          <w:b w:val="0"/>
          <w:i w:val="0"/>
          <w:color w:val="243447"/>
          <w:sz w:val="22"/>
        </w:rPr>
        <w:t>Correctness: financial amounts use safe integer paise; same inputs produce the same result.</w:t>
      </w:r>
    </w:p>
    <w:p>
      <w:pPr>
        <w:pStyle w:val="ListBullet"/>
      </w:pPr>
      <w:r>
        <w:rPr>
          <w:rFonts w:ascii="Calibri" w:hAnsi="Calibri"/>
          <w:b w:val="0"/>
          <w:i w:val="0"/>
          <w:color w:val="243447"/>
          <w:sz w:val="22"/>
        </w:rPr>
        <w:t>Privacy: free-text bill names and personal descriptions are excluded from provider payloads; secrets stay server-side.</w:t>
      </w:r>
    </w:p>
    <w:p>
      <w:pPr>
        <w:pStyle w:val="ListBullet"/>
      </w:pPr>
      <w:r>
        <w:rPr>
          <w:rFonts w:ascii="Calibri" w:hAnsi="Calibri"/>
          <w:b w:val="0"/>
          <w:i w:val="0"/>
          <w:color w:val="243447"/>
          <w:sz w:val="22"/>
        </w:rPr>
        <w:t>Reliability: mock and fallback paths work without network access or API keys.</w:t>
      </w:r>
    </w:p>
    <w:p>
      <w:pPr>
        <w:pStyle w:val="ListBullet"/>
      </w:pPr>
      <w:r>
        <w:rPr>
          <w:rFonts w:ascii="Calibri" w:hAnsi="Calibri"/>
          <w:b w:val="0"/>
          <w:i w:val="0"/>
          <w:color w:val="243447"/>
          <w:sz w:val="22"/>
        </w:rPr>
        <w:t>Performance: duplicate explanation requests are coalesced and cached with a bounded five-minute TTL.</w:t>
      </w:r>
    </w:p>
    <w:p>
      <w:pPr>
        <w:pStyle w:val="ListBullet"/>
      </w:pPr>
      <w:r>
        <w:rPr>
          <w:rFonts w:ascii="Calibri" w:hAnsi="Calibri"/>
          <w:b w:val="0"/>
          <w:i w:val="0"/>
          <w:color w:val="243447"/>
          <w:sz w:val="22"/>
        </w:rPr>
        <w:t>Security: the gateway binds to localhost, enforces input whitelists and size limits, and does not log financial facts.</w:t>
      </w:r>
    </w:p>
    <w:p>
      <w:pPr>
        <w:pStyle w:val="ListBullet"/>
      </w:pPr>
      <w:r>
        <w:rPr>
          <w:rFonts w:ascii="Calibri" w:hAnsi="Calibri"/>
          <w:b w:val="0"/>
          <w:i w:val="0"/>
          <w:color w:val="243447"/>
          <w:sz w:val="22"/>
        </w:rPr>
        <w:t>Accessibility: semantic controls, associated labels, keyboard operability, visible focus, and readable contrast are required.</w:t>
      </w:r>
    </w:p>
    <w:p>
      <w:pPr>
        <w:pStyle w:val="ListBullet"/>
      </w:pPr>
      <w:r>
        <w:rPr>
          <w:rFonts w:ascii="Calibri" w:hAnsi="Calibri"/>
          <w:b w:val="0"/>
          <w:i w:val="0"/>
          <w:color w:val="243447"/>
          <w:sz w:val="22"/>
        </w:rPr>
        <w:t>Portability: supported on Node.js 18+ with documented npm commands; CI uses Node.js 20 LTS.</w:t>
      </w:r>
    </w:p>
    <w:p>
      <w:r>
        <w:br w:type="page"/>
      </w:r>
    </w:p>
    <w:p>
      <w:pPr>
        <w:pStyle w:val="Heading1"/>
      </w:pPr>
      <w:r>
        <w:t>12. Acceptance and release criteria</w:t>
      </w:r>
    </w:p>
    <w:tbl>
      <w:tblPr>
        <w:tblW w:type="dxa" w:w="9360"/>
        <w:tblLayout w:type="fixed"/>
        <w:tblLook w:firstColumn="1" w:firstRow="1" w:lastColumn="0" w:lastRow="0" w:noHBand="0" w:noVBand="1" w:val="04A0"/>
        <w:jc w:val="left"/>
        <w:tblInd w:w="120" w:type="dxa"/>
      </w:tblPr>
      <w:tblGrid>
        <w:gridCol w:w="2500"/>
        <w:gridCol w:w="6860"/>
      </w:tblGrid>
      <w:tr>
        <w:trPr>
          <w:tblHeader/>
          <w:cantSplit/>
        </w:trPr>
        <w:tc>
          <w:tcPr>
            <w:tcW w:type="dxa" w:w="25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shd w:fill="F2F4F7"/>
          </w:tcPr>
          <w:p>
            <w:pPr>
              <w:keepLines/>
              <w:spacing w:after="0"/>
            </w:pPr>
            <w:r>
              <w:rPr>
                <w:rFonts w:ascii="Calibri" w:hAnsi="Calibri"/>
                <w:b/>
                <w:i w:val="0"/>
                <w:color w:val="17324D"/>
                <w:sz w:val="19"/>
              </w:rPr>
              <w:t>Gate</w:t>
            </w:r>
          </w:p>
        </w:tc>
        <w:tc>
          <w:tcPr>
            <w:tcW w:type="dxa" w:w="68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shd w:fill="F2F4F7"/>
          </w:tcPr>
          <w:p>
            <w:pPr>
              <w:keepLines/>
              <w:spacing w:after="0"/>
            </w:pPr>
            <w:r>
              <w:rPr>
                <w:rFonts w:ascii="Calibri" w:hAnsi="Calibri"/>
                <w:b/>
                <w:i w:val="0"/>
                <w:color w:val="17324D"/>
                <w:sz w:val="19"/>
              </w:rPr>
              <w:t>Required result</w:t>
            </w:r>
          </w:p>
        </w:tc>
      </w:tr>
      <w:tr>
        <w:trPr>
          <w:cantSplit/>
        </w:trPr>
        <w:tc>
          <w:tcPr>
            <w:tcW w:type="dxa" w:w="25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Automated logic</w:t>
            </w:r>
          </w:p>
        </w:tc>
        <w:tc>
          <w:tcPr>
            <w:tcW w:type="dxa" w:w="68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All financial, opportunity, simulation, ranking, server, and UI tests pass.</w:t>
            </w:r>
          </w:p>
        </w:tc>
      </w:tr>
      <w:tr>
        <w:trPr>
          <w:cantSplit/>
        </w:trPr>
        <w:tc>
          <w:tcPr>
            <w:tcW w:type="dxa" w:w="25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Static quality</w:t>
            </w:r>
          </w:p>
        </w:tc>
        <w:tc>
          <w:tcPr>
            <w:tcW w:type="dxa" w:w="68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TypeScript typecheck completes without errors.</w:t>
            </w:r>
          </w:p>
        </w:tc>
      </w:tr>
      <w:tr>
        <w:trPr>
          <w:cantSplit/>
        </w:trPr>
        <w:tc>
          <w:tcPr>
            <w:tcW w:type="dxa" w:w="25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Production packaging</w:t>
            </w:r>
          </w:p>
        </w:tc>
        <w:tc>
          <w:tcPr>
            <w:tcW w:type="dxa" w:w="68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Vite production build completes successfully.</w:t>
            </w:r>
          </w:p>
        </w:tc>
      </w:tr>
      <w:tr>
        <w:trPr>
          <w:cantSplit/>
        </w:trPr>
        <w:tc>
          <w:tcPr>
            <w:tcW w:type="dxa" w:w="25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Offline assurance</w:t>
            </w:r>
          </w:p>
        </w:tc>
        <w:tc>
          <w:tcPr>
            <w:tcW w:type="dxa" w:w="68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CI and local demo succeed with EXPLAIN_PROVIDER=mock and no credentials.</w:t>
            </w:r>
          </w:p>
        </w:tc>
      </w:tr>
      <w:tr>
        <w:trPr>
          <w:cantSplit/>
        </w:trPr>
        <w:tc>
          <w:tcPr>
            <w:tcW w:type="dxa" w:w="25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Manual UX</w:t>
            </w:r>
          </w:p>
        </w:tc>
        <w:tc>
          <w:tcPr>
            <w:tcW w:type="dxa" w:w="68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Desktop and 375px mobile layouts show no overlap/clipping; tables scroll; keyboard focus behaves correctly.</w:t>
            </w:r>
          </w:p>
        </w:tc>
      </w:tr>
      <w:tr>
        <w:trPr>
          <w:cantSplit/>
        </w:trPr>
        <w:tc>
          <w:tcPr>
            <w:tcW w:type="dxa" w:w="25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Claims review</w:t>
            </w:r>
          </w:p>
        </w:tc>
        <w:tc>
          <w:tcPr>
            <w:tcW w:type="dxa" w:w="68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Disclaimers are visible; no booking, lending, verified-income, or full-resolution claim is made.</w:t>
            </w:r>
          </w:p>
        </w:tc>
      </w:tr>
      <w:tr>
        <w:trPr>
          <w:cantSplit/>
        </w:trPr>
        <w:tc>
          <w:tcPr>
            <w:tcW w:type="dxa" w:w="25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Provider behavior</w:t>
            </w:r>
          </w:p>
        </w:tc>
        <w:tc>
          <w:tcPr>
            <w:tcW w:type="dxa" w:w="68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Live AI, when configured, returns validated constrained explanations; failures degrade to standard summaries.</w:t>
            </w:r>
          </w:p>
        </w:tc>
      </w:tr>
    </w:tbl>
    <w:p>
      <w:pPr>
        <w:spacing w:after="0"/>
      </w:pPr>
    </w:p>
    <w:p>
      <w:pPr>
        <w:pStyle w:val="Heading1"/>
      </w:pPr>
      <w:r>
        <w:t>13. Product metrics for a future pilot</w:t>
      </w:r>
    </w:p>
    <w:p>
      <w:r>
        <w:t>The current prototype has no analytics or production users. If a consented pilot is approved, measure product usefulness without collecting unnecessary financial detail:</w:t>
      </w:r>
    </w:p>
    <w:p>
      <w:pPr>
        <w:pStyle w:val="ListBullet"/>
      </w:pPr>
      <w:r>
        <w:rPr>
          <w:rFonts w:ascii="Calibri" w:hAnsi="Calibri"/>
          <w:b w:val="0"/>
          <w:i w:val="0"/>
          <w:color w:val="243447"/>
          <w:sz w:val="22"/>
        </w:rPr>
        <w:t>Task completion: percentage of sessions reaching a valid 14-day forecast.</w:t>
      </w:r>
    </w:p>
    <w:p>
      <w:pPr>
        <w:pStyle w:val="ListBullet"/>
      </w:pPr>
      <w:r>
        <w:rPr>
          <w:rFonts w:ascii="Calibri" w:hAnsi="Calibri"/>
          <w:b w:val="0"/>
          <w:i w:val="0"/>
          <w:color w:val="243447"/>
          <w:sz w:val="22"/>
        </w:rPr>
        <w:t>Comprehension: percentage of users who can correctly identify the first gap and distinguish it from the buffer breach.</w:t>
      </w:r>
    </w:p>
    <w:p>
      <w:pPr>
        <w:pStyle w:val="ListBullet"/>
      </w:pPr>
      <w:r>
        <w:rPr>
          <w:rFonts w:ascii="Calibri" w:hAnsi="Calibri"/>
          <w:b w:val="0"/>
          <w:i w:val="0"/>
          <w:color w:val="243447"/>
          <w:sz w:val="22"/>
        </w:rPr>
        <w:t>Decision support: percentage of valid scenarios where users open an eligible preview or intentionally continue without extra work.</w:t>
      </w:r>
    </w:p>
    <w:p>
      <w:pPr>
        <w:pStyle w:val="ListBullet"/>
      </w:pPr>
      <w:r>
        <w:rPr>
          <w:rFonts w:ascii="Calibri" w:hAnsi="Calibri"/>
          <w:b w:val="0"/>
          <w:i w:val="0"/>
          <w:color w:val="243447"/>
          <w:sz w:val="22"/>
        </w:rPr>
        <w:t>Trust: explanation fallback rate, validation rejection rate, and user-reported clarity of reasons.</w:t>
      </w:r>
    </w:p>
    <w:p>
      <w:pPr>
        <w:pStyle w:val="ListBullet"/>
      </w:pPr>
      <w:r>
        <w:rPr>
          <w:rFonts w:ascii="Calibri" w:hAnsi="Calibri"/>
          <w:b w:val="0"/>
          <w:i w:val="0"/>
          <w:color w:val="243447"/>
          <w:sz w:val="22"/>
        </w:rPr>
        <w:t>Quality: calculation defect rate, stale-result incidents, and accessibility issues found in review.</w:t>
      </w:r>
    </w:p>
    <w:p>
      <w:pPr>
        <w:pStyle w:val="Heading1"/>
      </w:pPr>
      <w:r>
        <w:t>14. Risks and mitigations</w:t>
      </w:r>
    </w:p>
    <w:tbl>
      <w:tblPr>
        <w:tblW w:type="dxa" w:w="9360"/>
        <w:tblLayout w:type="fixed"/>
        <w:tblLook w:firstColumn="1" w:firstRow="1" w:lastColumn="0" w:lastRow="0" w:noHBand="0" w:noVBand="1" w:val="04A0"/>
        <w:jc w:val="left"/>
        <w:tblInd w:w="120" w:type="dxa"/>
      </w:tblPr>
      <w:tblGrid>
        <w:gridCol w:w="3300"/>
        <w:gridCol w:w="6060"/>
      </w:tblGrid>
      <w:tr>
        <w:trPr>
          <w:tblHeader/>
          <w:cantSplit/>
        </w:trPr>
        <w:tc>
          <w:tcPr>
            <w:tcW w:type="dxa" w:w="33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shd w:fill="F2F4F7"/>
          </w:tcPr>
          <w:p>
            <w:pPr>
              <w:keepLines/>
              <w:spacing w:after="0"/>
            </w:pPr>
            <w:r>
              <w:rPr>
                <w:rFonts w:ascii="Calibri" w:hAnsi="Calibri"/>
                <w:b/>
                <w:i w:val="0"/>
                <w:color w:val="17324D"/>
                <w:sz w:val="19"/>
              </w:rPr>
              <w:t>Risk</w:t>
            </w:r>
          </w:p>
        </w:tc>
        <w:tc>
          <w:tcPr>
            <w:tcW w:type="dxa" w:w="60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shd w:fill="F2F4F7"/>
          </w:tcPr>
          <w:p>
            <w:pPr>
              <w:keepLines/>
              <w:spacing w:after="0"/>
            </w:pPr>
            <w:r>
              <w:rPr>
                <w:rFonts w:ascii="Calibri" w:hAnsi="Calibri"/>
                <w:b/>
                <w:i w:val="0"/>
                <w:color w:val="17324D"/>
                <w:sz w:val="19"/>
              </w:rPr>
              <w:t>Mitigation</w:t>
            </w:r>
          </w:p>
        </w:tc>
      </w:tr>
      <w:tr>
        <w:trPr>
          <w:cantSplit/>
        </w:trPr>
        <w:tc>
          <w:tcPr>
            <w:tcW w:type="dxa" w:w="33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Users interpret the demo as advice or a booking service.</w:t>
            </w:r>
          </w:p>
        </w:tc>
        <w:tc>
          <w:tcPr>
            <w:tcW w:type="dxa" w:w="60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Persistent fictional/hypothetical disclosures, neutral choices, and scoped language.</w:t>
            </w:r>
          </w:p>
        </w:tc>
      </w:tr>
      <w:tr>
        <w:trPr>
          <w:cantSplit/>
        </w:trPr>
        <w:tc>
          <w:tcPr>
            <w:tcW w:type="dxa" w:w="33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Gross pay appears helpful although payout arrives too late.</w:t>
            </w:r>
          </w:p>
        </w:tc>
        <w:tc>
          <w:tcPr>
            <w:tcW w:type="dxa" w:w="60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Explicit timing category and exclusion from immediate-gap ranking.</w:t>
            </w:r>
          </w:p>
        </w:tc>
      </w:tr>
      <w:tr>
        <w:trPr>
          <w:cantSplit/>
        </w:trPr>
        <w:tc>
          <w:tcPr>
            <w:tcW w:type="dxa" w:w="33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Upfront cost worsens the worker’s position.</w:t>
            </w:r>
          </w:p>
        </w:tc>
        <w:tc>
          <w:tcPr>
            <w:tcW w:type="dxa" w:w="60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Affordability check before payout and itemized cost display.</w:t>
            </w:r>
          </w:p>
        </w:tc>
      </w:tr>
      <w:tr>
        <w:trPr>
          <w:cantSplit/>
        </w:trPr>
        <w:tc>
          <w:tcPr>
            <w:tcW w:type="dxa" w:w="33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AI introduces unsupported numbers or recommendations.</w:t>
            </w:r>
          </w:p>
        </w:tc>
        <w:tc>
          <w:tcPr>
            <w:tcW w:type="dxa" w:w="60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Fact/message whitelist, applicability checks, app-owned templates, and deterministic fallback.</w:t>
            </w:r>
          </w:p>
        </w:tc>
      </w:tr>
      <w:tr>
        <w:trPr>
          <w:cantSplit/>
        </w:trPr>
        <w:tc>
          <w:tcPr>
            <w:tcW w:type="dxa" w:w="33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A single opportunity looks like a complete solution.</w:t>
            </w:r>
          </w:p>
        </w:tc>
        <w:tc>
          <w:tcPr>
            <w:tcW w:type="dxa" w:w="60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Compare the original event and always surface remaining/later gaps.</w:t>
            </w:r>
          </w:p>
        </w:tc>
      </w:tr>
      <w:tr>
        <w:trPr>
          <w:cantSplit/>
        </w:trPr>
        <w:tc>
          <w:tcPr>
            <w:tcW w:type="dxa" w:w="33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Sensitive data reaches a provider.</w:t>
            </w:r>
          </w:p>
        </w:tc>
        <w:tc>
          <w:tcPr>
            <w:tcW w:type="dxa" w:w="60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Typed fact extraction, removal of free text, server-only credentials, and no payload logging.</w:t>
            </w:r>
          </w:p>
        </w:tc>
      </w:tr>
    </w:tbl>
    <w:p>
      <w:pPr>
        <w:spacing w:after="0"/>
      </w:pPr>
    </w:p>
    <w:p>
      <w:r>
        <w:br w:type="page"/>
      </w:r>
    </w:p>
    <w:p>
      <w:pPr>
        <w:pStyle w:val="Heading1"/>
      </w:pPr>
      <w:r>
        <w:t>15. Roadmap</w:t>
      </w:r>
    </w:p>
    <w:tbl>
      <w:tblPr>
        <w:tblW w:type="dxa" w:w="9360"/>
        <w:tblLayout w:type="fixed"/>
        <w:tblLook w:firstColumn="1" w:firstRow="1" w:lastColumn="0" w:lastRow="0" w:noHBand="0" w:noVBand="1" w:val="04A0"/>
        <w:jc w:val="left"/>
        <w:tblInd w:w="120" w:type="dxa"/>
      </w:tblPr>
      <w:tblGrid>
        <w:gridCol w:w="1800"/>
        <w:gridCol w:w="4700"/>
        <w:gridCol w:w="2860"/>
      </w:tblGrid>
      <w:tr>
        <w:trPr>
          <w:tblHeader/>
          <w:cantSplit/>
        </w:trPr>
        <w:tc>
          <w:tcPr>
            <w:tcW w:type="dxa" w:w="18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shd w:fill="F2F4F7"/>
          </w:tcPr>
          <w:p>
            <w:pPr>
              <w:keepLines/>
              <w:spacing w:after="0"/>
            </w:pPr>
            <w:r>
              <w:rPr>
                <w:rFonts w:ascii="Calibri" w:hAnsi="Calibri"/>
                <w:b/>
                <w:i w:val="0"/>
                <w:color w:val="17324D"/>
                <w:sz w:val="19"/>
              </w:rPr>
              <w:t>Phase</w:t>
            </w:r>
          </w:p>
        </w:tc>
        <w:tc>
          <w:tcPr>
            <w:tcW w:type="dxa" w:w="47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shd w:fill="F2F4F7"/>
          </w:tcPr>
          <w:p>
            <w:pPr>
              <w:keepLines/>
              <w:spacing w:after="0"/>
            </w:pPr>
            <w:r>
              <w:rPr>
                <w:rFonts w:ascii="Calibri" w:hAnsi="Calibri"/>
                <w:b/>
                <w:i w:val="0"/>
                <w:color w:val="17324D"/>
                <w:sz w:val="19"/>
              </w:rPr>
              <w:t>Outcome</w:t>
            </w:r>
          </w:p>
        </w:tc>
        <w:tc>
          <w:tcPr>
            <w:tcW w:type="dxa" w:w="28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shd w:fill="F2F4F7"/>
          </w:tcPr>
          <w:p>
            <w:pPr>
              <w:keepLines/>
              <w:spacing w:after="0"/>
            </w:pPr>
            <w:r>
              <w:rPr>
                <w:rFonts w:ascii="Calibri" w:hAnsi="Calibri"/>
                <w:b/>
                <w:i w:val="0"/>
                <w:color w:val="17324D"/>
                <w:sz w:val="19"/>
              </w:rPr>
              <w:t>Exit condition</w:t>
            </w:r>
          </w:p>
        </w:tc>
      </w:tr>
      <w:tr>
        <w:trPr>
          <w:cantSplit/>
        </w:trPr>
        <w:tc>
          <w:tcPr>
            <w:tcW w:type="dxa" w:w="18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Current prototype</w:t>
            </w:r>
          </w:p>
        </w:tc>
        <w:tc>
          <w:tcPr>
            <w:tcW w:type="dxa" w:w="47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Trusted local demonstration of baseline, opportunity evaluation, ranking, preview, and constrained explanations.</w:t>
            </w:r>
          </w:p>
        </w:tc>
        <w:tc>
          <w:tcPr>
            <w:tcW w:type="dxa" w:w="28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Automated suite/typecheck/build pass; manual responsive and accessibility review completed.</w:t>
            </w:r>
          </w:p>
        </w:tc>
      </w:tr>
      <w:tr>
        <w:trPr>
          <w:cantSplit/>
        </w:trPr>
        <w:tc>
          <w:tcPr>
            <w:tcW w:type="dxa" w:w="18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Pilot hardening</w:t>
            </w:r>
          </w:p>
        </w:tc>
        <w:tc>
          <w:tcPr>
            <w:tcW w:type="dxa" w:w="47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Usability evidence, documented threat/privacy review, telemetry consent model, and refined opportunity data contract.</w:t>
            </w:r>
          </w:p>
        </w:tc>
        <w:tc>
          <w:tcPr>
            <w:tcW w:type="dxa" w:w="28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Pilot approval plus measurable comprehension and reliability targets.</w:t>
            </w:r>
          </w:p>
        </w:tc>
      </w:tr>
      <w:tr>
        <w:trPr>
          <w:cantSplit/>
        </w:trPr>
        <w:tc>
          <w:tcPr>
            <w:tcW w:type="dxa" w:w="18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Future exploration</w:t>
            </w:r>
          </w:p>
        </w:tc>
        <w:tc>
          <w:tcPr>
            <w:tcW w:type="dxa" w:w="47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Optional persistence and verified integrations only after governance, security, and user-consent design.</w:t>
            </w:r>
          </w:p>
        </w:tc>
        <w:tc>
          <w:tcPr>
            <w:tcW w:type="dxa" w:w="28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Separate PRD and risk approval; no automatic carry-over from prototype scope.</w:t>
            </w:r>
          </w:p>
        </w:tc>
      </w:tr>
    </w:tbl>
    <w:p>
      <w:pPr>
        <w:spacing w:after="0"/>
      </w:pPr>
    </w:p>
    <w:p>
      <w:pPr>
        <w:pStyle w:val="Heading1"/>
      </w:pPr>
      <w:r>
        <w:t>16. Open decisions</w:t>
      </w:r>
    </w:p>
    <w:p>
      <w:pPr>
        <w:pStyle w:val="ListBullet"/>
      </w:pPr>
      <w:r>
        <w:rPr>
          <w:rFonts w:ascii="Calibri" w:hAnsi="Calibri"/>
          <w:b w:val="0"/>
          <w:i w:val="0"/>
          <w:color w:val="243447"/>
          <w:sz w:val="22"/>
        </w:rPr>
        <w:t>Who is the accountable product owner and what event defines prototype sign-off?</w:t>
      </w:r>
    </w:p>
    <w:p>
      <w:pPr>
        <w:pStyle w:val="ListBullet"/>
      </w:pPr>
      <w:r>
        <w:rPr>
          <w:rFonts w:ascii="Calibri" w:hAnsi="Calibri"/>
          <w:b w:val="0"/>
          <w:i w:val="0"/>
          <w:color w:val="243447"/>
          <w:sz w:val="22"/>
        </w:rPr>
        <w:t>Will the next release remain a fictional demo or use a verified opportunity-data partner?</w:t>
      </w:r>
    </w:p>
    <w:p>
      <w:pPr>
        <w:pStyle w:val="ListBullet"/>
      </w:pPr>
      <w:r>
        <w:rPr>
          <w:rFonts w:ascii="Calibri" w:hAnsi="Calibri"/>
          <w:b w:val="0"/>
          <w:i w:val="0"/>
          <w:color w:val="243447"/>
          <w:sz w:val="22"/>
        </w:rPr>
        <w:t>What user research population and consent process will be used for comprehension testing?</w:t>
      </w:r>
    </w:p>
    <w:p>
      <w:pPr>
        <w:pStyle w:val="ListBullet"/>
      </w:pPr>
      <w:r>
        <w:rPr>
          <w:rFonts w:ascii="Calibri" w:hAnsi="Calibri"/>
          <w:b w:val="0"/>
          <w:i w:val="0"/>
          <w:color w:val="243447"/>
          <w:sz w:val="22"/>
        </w:rPr>
        <w:t>Which accessibility standard and browser/device matrix will be required for release?</w:t>
      </w:r>
    </w:p>
    <w:p>
      <w:pPr>
        <w:pStyle w:val="ListBullet"/>
      </w:pPr>
      <w:r>
        <w:rPr>
          <w:rFonts w:ascii="Calibri" w:hAnsi="Calibri"/>
          <w:b w:val="0"/>
          <w:i w:val="0"/>
          <w:color w:val="243447"/>
          <w:sz w:val="22"/>
        </w:rPr>
        <w:t>Should any future persistence be local-only, account-based, or explicitly excluded?</w:t>
      </w:r>
    </w:p>
    <w:p>
      <w:pPr>
        <w:pStyle w:val="ListBullet"/>
      </w:pPr>
      <w:r>
        <w:rPr>
          <w:rFonts w:ascii="Calibri" w:hAnsi="Calibri"/>
          <w:b w:val="0"/>
          <w:i w:val="0"/>
          <w:color w:val="243447"/>
          <w:sz w:val="22"/>
        </w:rPr>
        <w:t>What provider, data-retention, and regional-compliance requirements apply beyond local demonstration?</w:t>
      </w:r>
    </w:p>
    <w:p>
      <w:pPr>
        <w:pStyle w:val="Heading1"/>
      </w:pPr>
      <w:r>
        <w:t>Appendix A. Current seed scenario</w:t>
      </w:r>
    </w:p>
    <w:tbl>
      <w:tblPr>
        <w:tblW w:type="dxa" w:w="9360"/>
        <w:tblLayout w:type="fixed"/>
        <w:tblLook w:firstColumn="1" w:firstRow="1" w:lastColumn="0" w:lastRow="0" w:noHBand="0" w:noVBand="1" w:val="04A0"/>
        <w:jc w:val="left"/>
        <w:tblInd w:w="120" w:type="dxa"/>
      </w:tblPr>
      <w:tblGrid>
        <w:gridCol w:w="3400"/>
        <w:gridCol w:w="5960"/>
      </w:tblGrid>
      <w:tr>
        <w:trPr>
          <w:tblHeader/>
          <w:cantSplit/>
        </w:trPr>
        <w:tc>
          <w:tcPr>
            <w:tcW w:type="dxa" w:w="34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shd w:fill="F2F4F7"/>
          </w:tcPr>
          <w:p>
            <w:pPr>
              <w:keepLines/>
              <w:spacing w:after="0"/>
            </w:pPr>
            <w:r>
              <w:rPr>
                <w:rFonts w:ascii="Calibri" w:hAnsi="Calibri"/>
                <w:b/>
                <w:i w:val="0"/>
                <w:color w:val="17324D"/>
                <w:sz w:val="19"/>
              </w:rPr>
              <w:t>Input / result</w:t>
            </w:r>
          </w:p>
        </w:tc>
        <w:tc>
          <w:tcPr>
            <w:tcW w:type="dxa" w:w="59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shd w:fill="F2F4F7"/>
          </w:tcPr>
          <w:p>
            <w:pPr>
              <w:keepLines/>
              <w:spacing w:after="0"/>
            </w:pPr>
            <w:r>
              <w:rPr>
                <w:rFonts w:ascii="Calibri" w:hAnsi="Calibri"/>
                <w:b/>
                <w:i w:val="0"/>
                <w:color w:val="17324D"/>
                <w:sz w:val="19"/>
              </w:rPr>
              <w:t>Verified demo value</w:t>
            </w:r>
          </w:p>
        </w:tc>
      </w:tr>
      <w:tr>
        <w:trPr>
          <w:cantSplit/>
        </w:trPr>
        <w:tc>
          <w:tcPr>
            <w:tcW w:type="dxa" w:w="34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Starting cash</w:t>
            </w:r>
          </w:p>
        </w:tc>
        <w:tc>
          <w:tcPr>
            <w:tcW w:type="dxa" w:w="59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₹700</w:t>
            </w:r>
          </w:p>
        </w:tc>
      </w:tr>
      <w:tr>
        <w:trPr>
          <w:cantSplit/>
        </w:trPr>
        <w:tc>
          <w:tcPr>
            <w:tcW w:type="dxa" w:w="34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Daily essentials</w:t>
            </w:r>
          </w:p>
        </w:tc>
        <w:tc>
          <w:tcPr>
            <w:tcW w:type="dxa" w:w="59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₹200</w:t>
            </w:r>
          </w:p>
        </w:tc>
      </w:tr>
      <w:tr>
        <w:trPr>
          <w:cantSplit/>
        </w:trPr>
        <w:tc>
          <w:tcPr>
            <w:tcW w:type="dxa" w:w="34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Safety buffer</w:t>
            </w:r>
          </w:p>
        </w:tc>
        <w:tc>
          <w:tcPr>
            <w:tcW w:type="dxa" w:w="59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₹100</w:t>
            </w:r>
          </w:p>
        </w:tc>
      </w:tr>
      <w:tr>
        <w:trPr>
          <w:cantSplit/>
        </w:trPr>
        <w:tc>
          <w:tcPr>
            <w:tcW w:type="dxa" w:w="34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Day 3 bill</w:t>
            </w:r>
          </w:p>
        </w:tc>
        <w:tc>
          <w:tcPr>
            <w:tcW w:type="dxa" w:w="59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₹500</w:t>
            </w:r>
          </w:p>
        </w:tc>
      </w:tr>
      <w:tr>
        <w:trPr>
          <w:cantSplit/>
        </w:trPr>
        <w:tc>
          <w:tcPr>
            <w:tcW w:type="dxa" w:w="34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Day 7 payout</w:t>
            </w:r>
          </w:p>
        </w:tc>
        <w:tc>
          <w:tcPr>
            <w:tcW w:type="dxa" w:w="59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₹1,000</w:t>
            </w:r>
          </w:p>
        </w:tc>
      </w:tr>
      <w:tr>
        <w:trPr>
          <w:cantSplit/>
        </w:trPr>
        <w:tc>
          <w:tcPr>
            <w:tcW w:type="dxa" w:w="34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First essential shortfall</w:t>
            </w:r>
          </w:p>
        </w:tc>
        <w:tc>
          <w:tcPr>
            <w:tcW w:type="dxa" w:w="59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Day 3; ₹400</w:t>
            </w:r>
          </w:p>
        </w:tc>
      </w:tr>
      <w:tr>
        <w:trPr>
          <w:cantSplit/>
        </w:trPr>
        <w:tc>
          <w:tcPr>
            <w:tcW w:type="dxa" w:w="34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Buffer-inclusive gap at that event</w:t>
            </w:r>
          </w:p>
        </w:tc>
        <w:tc>
          <w:tcPr>
            <w:tcW w:type="dxa" w:w="59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₹500</w:t>
            </w:r>
          </w:p>
        </w:tc>
      </w:tr>
      <w:tr>
        <w:trPr>
          <w:cantSplit/>
        </w:trPr>
        <w:tc>
          <w:tcPr>
            <w:tcW w:type="dxa" w:w="34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Day 14 closing cash</w:t>
            </w:r>
          </w:p>
        </w:tc>
        <w:tc>
          <w:tcPr>
            <w:tcW w:type="dxa" w:w="59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-₹1,600</w:t>
            </w:r>
          </w:p>
        </w:tc>
      </w:tr>
      <w:tr>
        <w:trPr>
          <w:cantSplit/>
        </w:trPr>
        <w:tc>
          <w:tcPr>
            <w:tcW w:type="dxa" w:w="340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Sample Packing Shift</w:t>
            </w:r>
          </w:p>
        </w:tc>
        <w:tc>
          <w:tcPr>
            <w:tcW w:type="dxa" w:w="5960"/>
            <w:vAlign w:val="center"/>
            <w:tcMar>
              <w:top w:w="80" w:type="dxa"/>
              <w:start w:w="120" w:type="dxa"/>
              <w:bottom w:w="80" w:type="dxa"/>
              <w:end w:w="120" w:type="dxa"/>
            </w:tcMar>
            <w:tcBorders>
              <w:top w:val="single" w:sz="4" w:color="D0D5DD"/>
              <w:left w:val="single" w:sz="4" w:color="D0D5DD"/>
              <w:bottom w:val="single" w:sz="4" w:color="D0D5DD"/>
              <w:right w:val="single" w:sz="4" w:color="D0D5DD"/>
              <w:insideH w:val="single" w:sz="4" w:color="D0D5DD"/>
              <w:insideV w:val="single" w:sz="4" w:color="D0D5DD"/>
            </w:tcBorders>
          </w:tcPr>
          <w:p>
            <w:pPr>
              <w:keepLines/>
              <w:spacing w:after="0" w:line="240" w:lineRule="auto"/>
            </w:pPr>
            <w:r>
              <w:rPr>
                <w:rFonts w:ascii="Calibri" w:hAnsi="Calibri"/>
                <w:b w:val="0"/>
                <w:i w:val="0"/>
                <w:color w:val="243447"/>
                <w:sz w:val="18"/>
              </w:rPr>
              <w:t>₹800 gross; ₹150 upfront; ₹650 conservative net; covers Day 3 gap; a ₹150 shortfall remains on Day 5.</w:t>
            </w:r>
          </w:p>
        </w:tc>
      </w:tr>
    </w:tbl>
    <w:p>
      <w:pPr>
        <w:spacing w:after="0"/>
      </w:pPr>
    </w:p>
    <w:p>
      <w:pPr>
        <w:pStyle w:val="Heading1"/>
      </w:pPr>
      <w:r>
        <w:t>Appendix B. Evidence basis</w:t>
      </w:r>
    </w:p>
    <w:p>
      <w:r>
        <w:t>This PRD was derived from the current repository implementation and its maintained acceptance and architecture documentation, including README.md, docs/acceptance-review.md, docs/ai_explanation_architecture.md, package.json, application components, deterministic engines, server adapters, and automated tests. Unknown ownership, deployment, partner, and pilot details remain open decisions rather than asserted facts.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7"/>
      </w:rPr>
      <w:t xml:space="preserve">Confidential working document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7"/>
      </w:rPr>
      <w:t>GIGBRIDGE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color w:val="24344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color w:val="243447"/>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GigBridge Product Requirements Document</dc:title>
  <dc:subject>Current prototype product requirements</dc:subject>
  <dc:creator>GigBridge project team</dc:creator>
  <cp:keywords>GigBridge, PRD, cash flow, gig workers, opportunity ranking</cp:keywords>
  <dc:description>generated by python-docx</dc:description>
  <cp:lastModifiedBy/>
  <cp:revision>1</cp:revision>
  <dcterms:created xsi:type="dcterms:W3CDTF">2013-12-23T23:15:00Z</dcterms:created>
  <dcterms:modified xsi:type="dcterms:W3CDTF">2013-12-23T23:15:00Z</dcterms:modified>
  <cp:category/>
</cp:coreProperties>
</file>