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CF1CA" w14:textId="6F435A65" w:rsidR="0095347C" w:rsidRPr="00250767" w:rsidRDefault="009F0CA5" w:rsidP="00717CED">
      <w:pPr>
        <w:jc w:val="center"/>
        <w:rPr>
          <w:rFonts w:cstheme="minorHAnsi"/>
          <w:b/>
          <w:bCs/>
          <w:u w:val="single"/>
        </w:rPr>
      </w:pPr>
      <w:r w:rsidRPr="00250767">
        <w:rPr>
          <w:rFonts w:cstheme="minorHAnsi"/>
          <w:b/>
          <w:bCs/>
          <w:u w:val="single"/>
        </w:rPr>
        <w:t>METADATOS</w:t>
      </w:r>
    </w:p>
    <w:p w14:paraId="6F6FA515" w14:textId="291CF929" w:rsidR="009F0CA5" w:rsidRPr="00250767" w:rsidRDefault="009F0CA5">
      <w:pPr>
        <w:rPr>
          <w:rFonts w:cstheme="minorHAnsi"/>
        </w:rPr>
      </w:pPr>
    </w:p>
    <w:p w14:paraId="578F6E56" w14:textId="1DD763E5" w:rsidR="009F0CA5" w:rsidRPr="00250767" w:rsidRDefault="009F0CA5" w:rsidP="00BE2CC3">
      <w:pPr>
        <w:rPr>
          <w:rFonts w:cstheme="minorHAnsi"/>
        </w:rPr>
      </w:pPr>
      <w:r w:rsidRPr="00250767">
        <w:rPr>
          <w:rFonts w:cstheme="minorHAnsi"/>
        </w:rPr>
        <w:t xml:space="preserve">Metadatos del </w:t>
      </w:r>
      <w:proofErr w:type="spellStart"/>
      <w:r w:rsidRPr="00250767">
        <w:rPr>
          <w:rFonts w:cstheme="minorHAnsi"/>
        </w:rPr>
        <w:t>dataset</w:t>
      </w:r>
      <w:proofErr w:type="spellEnd"/>
      <w:r w:rsidR="00EB1A82" w:rsidRPr="00250767">
        <w:rPr>
          <w:rFonts w:cstheme="minorHAnsi"/>
        </w:rPr>
        <w:t xml:space="preserve">: </w:t>
      </w:r>
      <w:r w:rsidRPr="00250767">
        <w:rPr>
          <w:rFonts w:cstheme="minorHAnsi"/>
        </w:rPr>
        <w:t xml:space="preserve"> </w:t>
      </w:r>
      <w:r w:rsidR="00250767" w:rsidRPr="00250767">
        <w:rPr>
          <w:rFonts w:cstheme="minorHAnsi"/>
        </w:rPr>
        <w:t>Recaudación de Ingresos de Impuesto Predial de la Municipalidad Distrital de Pueblo Libre - [MPL]</w:t>
      </w:r>
    </w:p>
    <w:p w14:paraId="6E07927B" w14:textId="77777777" w:rsidR="00DA6578" w:rsidRPr="00250767" w:rsidRDefault="00DA6578">
      <w:pPr>
        <w:rPr>
          <w:rFonts w:cstheme="minorHAnsi"/>
          <w:vanish/>
          <w:specVanish/>
        </w:rPr>
      </w:pPr>
    </w:p>
    <w:p w14:paraId="70D2D9BE" w14:textId="77777777" w:rsidR="00DA6578" w:rsidRPr="00250767" w:rsidRDefault="00DA6578" w:rsidP="00DA6578">
      <w:pPr>
        <w:rPr>
          <w:rFonts w:cstheme="minorHAnsi"/>
          <w:vanish/>
          <w:specVanish/>
        </w:rPr>
      </w:pPr>
      <w:r w:rsidRPr="00250767">
        <w:rPr>
          <w:rFonts w:cstheme="minorHAnsi"/>
        </w:rPr>
        <w:t xml:space="preserve"> </w:t>
      </w:r>
    </w:p>
    <w:p w14:paraId="77E11A95" w14:textId="77777777" w:rsidR="00504D0A" w:rsidRPr="00250767" w:rsidRDefault="00DA6578" w:rsidP="00DA6578">
      <w:pPr>
        <w:rPr>
          <w:rFonts w:cstheme="minorHAnsi"/>
        </w:rPr>
      </w:pPr>
      <w:r w:rsidRPr="00250767">
        <w:rPr>
          <w:rFonts w:cstheme="minorHAnsi"/>
        </w:rPr>
        <w:t xml:space="preserve"> 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:rsidRPr="00250767" w14:paraId="30B6BD9E" w14:textId="77777777" w:rsidTr="00504D0A">
        <w:tc>
          <w:tcPr>
            <w:tcW w:w="2972" w:type="dxa"/>
            <w:vAlign w:val="center"/>
          </w:tcPr>
          <w:p w14:paraId="2E49C04D" w14:textId="273124D6" w:rsidR="00504D0A" w:rsidRPr="00250767" w:rsidRDefault="00504D0A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6B201AE9" w:rsidR="00504D0A" w:rsidRPr="00250767" w:rsidRDefault="00250767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</w:rPr>
              <w:t>Recaudación de Ingresos de Impuesto Predial de la Municipalidad Distrital de Pueblo Libre - [MPL</w:t>
            </w:r>
            <w:r w:rsidR="00C84600">
              <w:rPr>
                <w:rFonts w:cstheme="minorHAnsi"/>
              </w:rPr>
              <w:t>]</w:t>
            </w:r>
          </w:p>
        </w:tc>
      </w:tr>
      <w:tr w:rsidR="00504D0A" w:rsidRPr="00250767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Pr="00250767" w:rsidRDefault="00504D0A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6CA61043" w:rsidR="00504D0A" w:rsidRPr="00250767" w:rsidRDefault="007F6427" w:rsidP="00504D0A">
            <w:pPr>
              <w:rPr>
                <w:rFonts w:cstheme="minorHAnsi"/>
              </w:rPr>
            </w:pPr>
            <w:r w:rsidRPr="007F6427">
              <w:rPr>
                <w:rFonts w:cstheme="minorHAnsi"/>
              </w:rPr>
              <w:t>https://www.datosabiertos.gob.pe/dataset/recaudaci%C3%B3n-de-ingresos-de-impuesto-predial-de-la-municipalidad-distrital-de-pueblo-libre</w:t>
            </w:r>
          </w:p>
        </w:tc>
      </w:tr>
      <w:tr w:rsidR="00504D0A" w:rsidRPr="00250767" w14:paraId="2EC58AEF" w14:textId="77777777" w:rsidTr="00504D0A">
        <w:tc>
          <w:tcPr>
            <w:tcW w:w="2972" w:type="dxa"/>
            <w:vAlign w:val="center"/>
          </w:tcPr>
          <w:p w14:paraId="24E79BF0" w14:textId="0C1004DE" w:rsidR="00504D0A" w:rsidRPr="00250767" w:rsidRDefault="00504D0A" w:rsidP="00504D0A">
            <w:pPr>
              <w:rPr>
                <w:rFonts w:cstheme="minorHAnsi"/>
              </w:rPr>
            </w:pPr>
            <w:r w:rsidRPr="00151C1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25276381" w14:textId="3C52D60A" w:rsidR="00250767" w:rsidRPr="00250767" w:rsidRDefault="00250767" w:rsidP="00250767">
            <w:pPr>
              <w:jc w:val="both"/>
              <w:rPr>
                <w:rFonts w:cstheme="minorHAnsi"/>
              </w:rPr>
            </w:pPr>
            <w:r w:rsidRPr="00250767">
              <w:rPr>
                <w:rFonts w:cstheme="minorHAnsi"/>
              </w:rPr>
              <w:t xml:space="preserve">Información de ingresos de Tributos Municipales por concepto de Impuesto Predial, recaudados por la Municipalidad Provincial de </w:t>
            </w:r>
            <w:r w:rsidR="002A18E2">
              <w:rPr>
                <w:rFonts w:cstheme="minorHAnsi"/>
              </w:rPr>
              <w:t>Pueblo Libre</w:t>
            </w:r>
            <w:r w:rsidRPr="00250767">
              <w:rPr>
                <w:rFonts w:cstheme="minorHAnsi"/>
              </w:rPr>
              <w:t>, correspondiente a</w:t>
            </w:r>
            <w:r w:rsidR="002A18E2">
              <w:rPr>
                <w:rFonts w:cstheme="minorHAnsi"/>
              </w:rPr>
              <w:t>l año 2023</w:t>
            </w:r>
            <w:r w:rsidRPr="00250767">
              <w:rPr>
                <w:rFonts w:cstheme="minorHAnsi"/>
              </w:rPr>
              <w:t>.</w:t>
            </w:r>
          </w:p>
          <w:p w14:paraId="73211358" w14:textId="77777777" w:rsidR="00250767" w:rsidRPr="00250767" w:rsidRDefault="00250767" w:rsidP="00250767">
            <w:pPr>
              <w:rPr>
                <w:rFonts w:cstheme="minorHAnsi"/>
              </w:rPr>
            </w:pPr>
          </w:p>
          <w:p w14:paraId="56F012C0" w14:textId="6FBA259A" w:rsidR="00250767" w:rsidRPr="00250767" w:rsidRDefault="00250767" w:rsidP="00250767">
            <w:pPr>
              <w:jc w:val="both"/>
              <w:rPr>
                <w:rFonts w:cstheme="minorHAnsi"/>
              </w:rPr>
            </w:pPr>
            <w:r w:rsidRPr="00250767">
              <w:rPr>
                <w:rFonts w:cstheme="minorHAnsi"/>
              </w:rPr>
              <w:t xml:space="preserve">Esta Recaudación de Ingresos de </w:t>
            </w:r>
            <w:r w:rsidR="002A18E2" w:rsidRPr="00250767">
              <w:rPr>
                <w:rFonts w:cstheme="minorHAnsi"/>
              </w:rPr>
              <w:t>Impuesto Predial</w:t>
            </w:r>
            <w:r w:rsidR="002A18E2">
              <w:rPr>
                <w:rFonts w:cstheme="minorHAnsi"/>
              </w:rPr>
              <w:t xml:space="preserve">, </w:t>
            </w:r>
            <w:r w:rsidRPr="00250767">
              <w:rPr>
                <w:rFonts w:cstheme="minorHAnsi"/>
              </w:rPr>
              <w:t xml:space="preserve">están caracterizadas por: </w:t>
            </w:r>
          </w:p>
          <w:p w14:paraId="530C2C49" w14:textId="77777777" w:rsidR="00250767" w:rsidRPr="00250767" w:rsidRDefault="00250767" w:rsidP="00250767">
            <w:pPr>
              <w:jc w:val="both"/>
              <w:rPr>
                <w:rFonts w:cstheme="minorHAnsi"/>
              </w:rPr>
            </w:pPr>
          </w:p>
          <w:p w14:paraId="150BD2E0" w14:textId="46A1960C" w:rsidR="00250767" w:rsidRPr="00250767" w:rsidRDefault="00250767" w:rsidP="0025076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50767">
              <w:rPr>
                <w:rFonts w:asciiTheme="minorHAnsi" w:hAnsiTheme="minorHAnsi" w:cstheme="minorHAnsi"/>
                <w:b/>
                <w:sz w:val="22"/>
                <w:szCs w:val="22"/>
              </w:rPr>
              <w:t>Datos de la entidad</w:t>
            </w:r>
            <w:r w:rsidRPr="00250767">
              <w:rPr>
                <w:rFonts w:asciiTheme="minorHAnsi" w:hAnsiTheme="minorHAnsi" w:cstheme="minorHAnsi"/>
                <w:sz w:val="22"/>
                <w:szCs w:val="22"/>
              </w:rPr>
              <w:t>: Departamento, provincia, distrito, gobierno local de la entidad</w:t>
            </w:r>
            <w:r w:rsidR="002A18E2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2A18E2" w:rsidRPr="0025076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A18E2" w:rsidRPr="00250767">
              <w:rPr>
                <w:rFonts w:asciiTheme="minorHAnsi" w:hAnsiTheme="minorHAnsi" w:cstheme="minorHAnsi"/>
                <w:sz w:val="22"/>
                <w:szCs w:val="22"/>
              </w:rPr>
              <w:t>ubigeo</w:t>
            </w:r>
            <w:proofErr w:type="spellEnd"/>
          </w:p>
          <w:p w14:paraId="01A59380" w14:textId="6CDD8518" w:rsidR="00250767" w:rsidRPr="00250767" w:rsidRDefault="00250767" w:rsidP="0025076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50767">
              <w:rPr>
                <w:rFonts w:asciiTheme="minorHAnsi" w:hAnsiTheme="minorHAnsi" w:cstheme="minorHAnsi"/>
                <w:b/>
                <w:sz w:val="22"/>
                <w:szCs w:val="22"/>
              </w:rPr>
              <w:t>Datos del Contribuyente</w:t>
            </w:r>
            <w:r w:rsidRPr="00250767">
              <w:rPr>
                <w:rFonts w:asciiTheme="minorHAnsi" w:hAnsiTheme="minorHAnsi" w:cstheme="minorHAnsi"/>
                <w:sz w:val="22"/>
                <w:szCs w:val="22"/>
              </w:rPr>
              <w:t>: Código del contribuyente anonimizado</w:t>
            </w:r>
          </w:p>
          <w:p w14:paraId="65FB1FDA" w14:textId="77C2F491" w:rsidR="002A18E2" w:rsidRDefault="00250767" w:rsidP="00504D0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50767">
              <w:rPr>
                <w:rFonts w:asciiTheme="minorHAnsi" w:hAnsiTheme="minorHAnsi" w:cstheme="minorHAnsi"/>
                <w:b/>
                <w:sz w:val="22"/>
                <w:szCs w:val="22"/>
              </w:rPr>
              <w:t>Datos de los Tributos Municipales</w:t>
            </w:r>
            <w:r w:rsidRPr="0025076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CF6028">
              <w:rPr>
                <w:rFonts w:asciiTheme="minorHAnsi" w:hAnsiTheme="minorHAnsi" w:cstheme="minorHAnsi"/>
                <w:sz w:val="22"/>
                <w:szCs w:val="22"/>
              </w:rPr>
              <w:t>Fecha de corte, c</w:t>
            </w:r>
            <w:r w:rsidRPr="00250767">
              <w:rPr>
                <w:rFonts w:asciiTheme="minorHAnsi" w:hAnsiTheme="minorHAnsi" w:cstheme="minorHAnsi"/>
                <w:sz w:val="22"/>
                <w:szCs w:val="22"/>
              </w:rPr>
              <w:t xml:space="preserve">ódigo del tributo, nombre del tributo, año ordinario del tributo, periodo ordinario del tributo, </w:t>
            </w:r>
            <w:r w:rsidR="00151C17" w:rsidRPr="00250767">
              <w:rPr>
                <w:rFonts w:asciiTheme="minorHAnsi" w:hAnsiTheme="minorHAnsi" w:cstheme="minorHAnsi"/>
                <w:sz w:val="22"/>
                <w:szCs w:val="22"/>
              </w:rPr>
              <w:t>importe insoluto de pago</w:t>
            </w:r>
            <w:r w:rsidR="00151C1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151C17" w:rsidRPr="00250767">
              <w:rPr>
                <w:rFonts w:asciiTheme="minorHAnsi" w:hAnsiTheme="minorHAnsi" w:cstheme="minorHAnsi"/>
                <w:sz w:val="22"/>
                <w:szCs w:val="22"/>
              </w:rPr>
              <w:t>gastos administrativos</w:t>
            </w:r>
            <w:r w:rsidR="00151C1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151C17" w:rsidRPr="00250767">
              <w:rPr>
                <w:rFonts w:asciiTheme="minorHAnsi" w:hAnsiTheme="minorHAnsi" w:cstheme="minorHAnsi"/>
                <w:sz w:val="22"/>
                <w:szCs w:val="22"/>
              </w:rPr>
              <w:t>importe de interés tributario</w:t>
            </w:r>
            <w:r w:rsidR="00151C1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151C17" w:rsidRPr="00250767">
              <w:rPr>
                <w:rFonts w:asciiTheme="minorHAnsi" w:hAnsiTheme="minorHAnsi" w:cstheme="minorHAnsi"/>
                <w:sz w:val="22"/>
                <w:szCs w:val="22"/>
              </w:rPr>
              <w:t>importe del reajuste tributario</w:t>
            </w:r>
            <w:r w:rsidR="00151C17">
              <w:rPr>
                <w:rFonts w:asciiTheme="minorHAnsi" w:hAnsiTheme="minorHAnsi" w:cstheme="minorHAnsi"/>
                <w:sz w:val="22"/>
                <w:szCs w:val="22"/>
              </w:rPr>
              <w:t>, d</w:t>
            </w:r>
            <w:r w:rsidR="00151C17" w:rsidRPr="00151C17">
              <w:rPr>
                <w:rFonts w:asciiTheme="minorHAnsi" w:hAnsiTheme="minorHAnsi" w:cstheme="minorHAnsi"/>
                <w:sz w:val="22"/>
                <w:szCs w:val="22"/>
              </w:rPr>
              <w:t>escuento de acuerdo a un beneficio</w:t>
            </w:r>
            <w:r w:rsidR="00151C1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151C17" w:rsidRPr="00250767">
              <w:rPr>
                <w:rFonts w:asciiTheme="minorHAnsi" w:hAnsiTheme="minorHAnsi" w:cstheme="minorHAnsi"/>
                <w:sz w:val="22"/>
                <w:szCs w:val="22"/>
              </w:rPr>
              <w:t>importe total de pago</w:t>
            </w:r>
            <w:r w:rsidR="00151C1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151C17" w:rsidRPr="00250767">
              <w:rPr>
                <w:rFonts w:asciiTheme="minorHAnsi" w:hAnsiTheme="minorHAnsi" w:cstheme="minorHAnsi"/>
                <w:sz w:val="22"/>
                <w:szCs w:val="22"/>
              </w:rPr>
              <w:t>fecha de pago</w:t>
            </w:r>
            <w:r w:rsidR="00151C1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768E929" w14:textId="72A30AD0" w:rsidR="00CD25C2" w:rsidRPr="00151C17" w:rsidRDefault="00CD25C2" w:rsidP="00151C17">
            <w:pPr>
              <w:jc w:val="both"/>
              <w:rPr>
                <w:rFonts w:cstheme="minorHAnsi"/>
              </w:rPr>
            </w:pPr>
          </w:p>
        </w:tc>
      </w:tr>
      <w:tr w:rsidR="00504D0A" w:rsidRPr="00250767" w14:paraId="283C9B4F" w14:textId="77777777" w:rsidTr="00504D0A">
        <w:tc>
          <w:tcPr>
            <w:tcW w:w="2972" w:type="dxa"/>
            <w:vAlign w:val="center"/>
          </w:tcPr>
          <w:p w14:paraId="51D63ABD" w14:textId="5D977796" w:rsidR="00504D0A" w:rsidRPr="00250767" w:rsidRDefault="00504D0A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Entidad</w:t>
            </w:r>
          </w:p>
        </w:tc>
        <w:tc>
          <w:tcPr>
            <w:tcW w:w="7484" w:type="dxa"/>
          </w:tcPr>
          <w:p w14:paraId="391CFDAD" w14:textId="5BD422B4" w:rsidR="00504D0A" w:rsidRPr="00250767" w:rsidRDefault="00250767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</w:rPr>
              <w:t>Municipalidad Distrital de Pueblo Libre - MPL</w:t>
            </w:r>
          </w:p>
        </w:tc>
      </w:tr>
      <w:tr w:rsidR="00504D0A" w:rsidRPr="00250767" w14:paraId="1598F2E3" w14:textId="77777777" w:rsidTr="00504D0A">
        <w:tc>
          <w:tcPr>
            <w:tcW w:w="2972" w:type="dxa"/>
            <w:vAlign w:val="center"/>
          </w:tcPr>
          <w:p w14:paraId="4723B4D8" w14:textId="16D3A583" w:rsidR="00504D0A" w:rsidRPr="00250767" w:rsidRDefault="00504D0A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Fuente</w:t>
            </w:r>
          </w:p>
        </w:tc>
        <w:tc>
          <w:tcPr>
            <w:tcW w:w="7484" w:type="dxa"/>
          </w:tcPr>
          <w:p w14:paraId="14AEEBCE" w14:textId="477DC25F" w:rsidR="00504D0A" w:rsidRPr="00250767" w:rsidRDefault="00250767" w:rsidP="00504D0A">
            <w:pPr>
              <w:rPr>
                <w:rFonts w:cstheme="minorHAnsi"/>
              </w:rPr>
            </w:pPr>
            <w:r>
              <w:rPr>
                <w:rFonts w:cstheme="minorHAnsi"/>
              </w:rPr>
              <w:t>Subgerencia de Recaudación y Ejecución Coactiva</w:t>
            </w:r>
          </w:p>
        </w:tc>
      </w:tr>
      <w:tr w:rsidR="00504D0A" w:rsidRPr="00250767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Pr="00250767" w:rsidRDefault="00504D0A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</w:rPr>
              <w:t>Etiquetas</w:t>
            </w:r>
          </w:p>
        </w:tc>
        <w:tc>
          <w:tcPr>
            <w:tcW w:w="7484" w:type="dxa"/>
          </w:tcPr>
          <w:p w14:paraId="5B88C464" w14:textId="769216D0" w:rsidR="00504D0A" w:rsidRPr="00250767" w:rsidRDefault="00250767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</w:rPr>
              <w:t>Administración Tributaria, Tributos Municipales, Ingresos Recaudados, Impuesto Predial</w:t>
            </w:r>
          </w:p>
        </w:tc>
      </w:tr>
      <w:tr w:rsidR="00504D0A" w:rsidRPr="00250767" w14:paraId="43175C4D" w14:textId="77777777" w:rsidTr="00504D0A">
        <w:tc>
          <w:tcPr>
            <w:tcW w:w="2972" w:type="dxa"/>
            <w:vAlign w:val="center"/>
          </w:tcPr>
          <w:p w14:paraId="12BAD6F9" w14:textId="0D974740" w:rsidR="00504D0A" w:rsidRPr="00250767" w:rsidRDefault="00504D0A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71ED991A" w14:textId="00D7CD12" w:rsidR="00504D0A" w:rsidRPr="00250767" w:rsidRDefault="003F11FA" w:rsidP="00504D0A">
            <w:pPr>
              <w:rPr>
                <w:rFonts w:cstheme="minorHAnsi"/>
              </w:rPr>
            </w:pPr>
            <w:r>
              <w:rPr>
                <w:rFonts w:cstheme="minorHAnsi"/>
              </w:rPr>
              <w:t>2024-0</w:t>
            </w:r>
            <w:r w:rsidR="00FE12B7">
              <w:rPr>
                <w:rFonts w:cstheme="minorHAnsi"/>
              </w:rPr>
              <w:t>5</w:t>
            </w:r>
            <w:r>
              <w:rPr>
                <w:rFonts w:cstheme="minorHAnsi"/>
              </w:rPr>
              <w:t>-</w:t>
            </w:r>
            <w:r w:rsidR="00FE12B7">
              <w:rPr>
                <w:rFonts w:cstheme="minorHAnsi"/>
              </w:rPr>
              <w:t>0</w:t>
            </w:r>
            <w:r>
              <w:rPr>
                <w:rFonts w:cstheme="minorHAnsi"/>
              </w:rPr>
              <w:t>9</w:t>
            </w:r>
          </w:p>
        </w:tc>
      </w:tr>
      <w:tr w:rsidR="00504D0A" w:rsidRPr="00250767" w14:paraId="011842A8" w14:textId="77777777" w:rsidTr="00504D0A">
        <w:tc>
          <w:tcPr>
            <w:tcW w:w="2972" w:type="dxa"/>
            <w:vAlign w:val="center"/>
          </w:tcPr>
          <w:p w14:paraId="35EB519A" w14:textId="7F952C47" w:rsidR="00504D0A" w:rsidRPr="00250767" w:rsidRDefault="00504D0A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Frecuencia de actualización</w:t>
            </w:r>
          </w:p>
        </w:tc>
        <w:tc>
          <w:tcPr>
            <w:tcW w:w="7484" w:type="dxa"/>
          </w:tcPr>
          <w:p w14:paraId="234AA13C" w14:textId="233EAD4F" w:rsidR="00504D0A" w:rsidRPr="00250767" w:rsidRDefault="00CF6028" w:rsidP="00504D0A">
            <w:pPr>
              <w:rPr>
                <w:rFonts w:cstheme="minorHAnsi"/>
              </w:rPr>
            </w:pPr>
            <w:r>
              <w:rPr>
                <w:rFonts w:cstheme="minorHAnsi"/>
              </w:rPr>
              <w:t>Semestral</w:t>
            </w:r>
          </w:p>
        </w:tc>
      </w:tr>
      <w:tr w:rsidR="00CD25C2" w:rsidRPr="00250767" w14:paraId="2C94159F" w14:textId="77777777" w:rsidTr="00DD0453">
        <w:tc>
          <w:tcPr>
            <w:tcW w:w="2972" w:type="dxa"/>
            <w:vAlign w:val="center"/>
          </w:tcPr>
          <w:p w14:paraId="4C1DE0E1" w14:textId="18D08B51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1B051219" w14:textId="167C9B66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color w:val="000000" w:themeColor="text1"/>
                <w:kern w:val="24"/>
              </w:rPr>
              <w:t>202</w:t>
            </w:r>
            <w:r w:rsidR="003F11FA">
              <w:rPr>
                <w:rFonts w:cstheme="minorHAnsi"/>
                <w:color w:val="000000" w:themeColor="text1"/>
                <w:kern w:val="24"/>
              </w:rPr>
              <w:t>4</w:t>
            </w:r>
            <w:r w:rsidR="00FE12B7">
              <w:rPr>
                <w:rFonts w:cstheme="minorHAnsi"/>
              </w:rPr>
              <w:t>-05-09</w:t>
            </w:r>
          </w:p>
        </w:tc>
      </w:tr>
      <w:tr w:rsidR="00CD25C2" w:rsidRPr="00250767" w14:paraId="3F74AE2E" w14:textId="77777777" w:rsidTr="00DD0453">
        <w:tc>
          <w:tcPr>
            <w:tcW w:w="2972" w:type="dxa"/>
            <w:vAlign w:val="center"/>
          </w:tcPr>
          <w:p w14:paraId="59316C5D" w14:textId="137D6F15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682DC893" w14:textId="17FF05F2" w:rsidR="00CD25C2" w:rsidRPr="00250767" w:rsidRDefault="003F11FA" w:rsidP="00CD25C2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CD25C2" w:rsidRPr="00250767" w14:paraId="7EBCCDEC" w14:textId="77777777" w:rsidTr="00DD0453">
        <w:tc>
          <w:tcPr>
            <w:tcW w:w="2972" w:type="dxa"/>
            <w:vAlign w:val="center"/>
          </w:tcPr>
          <w:p w14:paraId="083F45C8" w14:textId="4E1B2523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2A8300A7" w14:textId="2B67E942" w:rsidR="00CD25C2" w:rsidRPr="00250767" w:rsidRDefault="00000000" w:rsidP="00CD25C2">
            <w:pPr>
              <w:rPr>
                <w:rFonts w:cstheme="minorHAnsi"/>
              </w:rPr>
            </w:pPr>
            <w:hyperlink r:id="rId5" w:history="1">
              <w:r w:rsidR="00CD25C2" w:rsidRPr="00250767">
                <w:rPr>
                  <w:rStyle w:val="Hipervnculo"/>
                  <w:rFonts w:cstheme="min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:rsidRPr="00250767" w14:paraId="50813B98" w14:textId="77777777" w:rsidTr="00DD0453">
        <w:tc>
          <w:tcPr>
            <w:tcW w:w="2972" w:type="dxa"/>
            <w:vAlign w:val="center"/>
          </w:tcPr>
          <w:p w14:paraId="78F51BD0" w14:textId="026C8583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00A83837" w14:textId="4C6C4345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color w:val="000000" w:themeColor="text1"/>
                <w:kern w:val="24"/>
              </w:rPr>
              <w:t>Español</w:t>
            </w:r>
          </w:p>
        </w:tc>
      </w:tr>
      <w:tr w:rsidR="00CD25C2" w:rsidRPr="00250767" w14:paraId="1117E997" w14:textId="77777777" w:rsidTr="00DD0453">
        <w:tc>
          <w:tcPr>
            <w:tcW w:w="2972" w:type="dxa"/>
            <w:vAlign w:val="center"/>
          </w:tcPr>
          <w:p w14:paraId="1CADEF4B" w14:textId="184AA53E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64FB206D" w14:textId="705D940B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color w:val="000000" w:themeColor="text1"/>
                <w:kern w:val="24"/>
              </w:rPr>
              <w:t>Público</w:t>
            </w:r>
          </w:p>
        </w:tc>
      </w:tr>
      <w:tr w:rsidR="00CD25C2" w:rsidRPr="00250767" w14:paraId="7E0D1F8D" w14:textId="77777777" w:rsidTr="00504D0A">
        <w:tc>
          <w:tcPr>
            <w:tcW w:w="2972" w:type="dxa"/>
          </w:tcPr>
          <w:p w14:paraId="44582A03" w14:textId="175F5ABC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Tipo de recurso</w:t>
            </w:r>
          </w:p>
        </w:tc>
        <w:tc>
          <w:tcPr>
            <w:tcW w:w="7484" w:type="dxa"/>
          </w:tcPr>
          <w:p w14:paraId="203A77A8" w14:textId="328AECF8" w:rsidR="00CD25C2" w:rsidRPr="00250767" w:rsidRDefault="00CD25C2" w:rsidP="00CD25C2">
            <w:pPr>
              <w:rPr>
                <w:rFonts w:cstheme="minorHAnsi"/>
              </w:rPr>
            </w:pPr>
            <w:proofErr w:type="spellStart"/>
            <w:r w:rsidRPr="00250767">
              <w:rPr>
                <w:rFonts w:cstheme="minorHAnsi"/>
              </w:rPr>
              <w:t>Dataset</w:t>
            </w:r>
            <w:proofErr w:type="spellEnd"/>
          </w:p>
        </w:tc>
      </w:tr>
      <w:tr w:rsidR="00CD25C2" w:rsidRPr="00250767" w14:paraId="002B4018" w14:textId="77777777" w:rsidTr="00504D0A">
        <w:tc>
          <w:tcPr>
            <w:tcW w:w="2972" w:type="dxa"/>
          </w:tcPr>
          <w:p w14:paraId="7C20EDCE" w14:textId="0318ABEF" w:rsidR="00CD25C2" w:rsidRPr="00250767" w:rsidRDefault="00CD25C2" w:rsidP="00CD25C2">
            <w:pPr>
              <w:rPr>
                <w:rFonts w:cstheme="minorHAnsi"/>
                <w:b/>
                <w:bCs/>
              </w:rPr>
            </w:pPr>
            <w:r w:rsidRPr="00250767">
              <w:rPr>
                <w:rFonts w:cstheme="minorHAnsi"/>
                <w:b/>
                <w:bCs/>
              </w:rPr>
              <w:t>Formato</w:t>
            </w:r>
          </w:p>
        </w:tc>
        <w:tc>
          <w:tcPr>
            <w:tcW w:w="7484" w:type="dxa"/>
          </w:tcPr>
          <w:p w14:paraId="4E46760A" w14:textId="1FBB55B3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</w:rPr>
              <w:t>CSV</w:t>
            </w:r>
          </w:p>
        </w:tc>
      </w:tr>
      <w:tr w:rsidR="00CD25C2" w:rsidRPr="00250767" w14:paraId="7A5EEEA5" w14:textId="77777777" w:rsidTr="00504D0A">
        <w:tc>
          <w:tcPr>
            <w:tcW w:w="2972" w:type="dxa"/>
          </w:tcPr>
          <w:p w14:paraId="14C8EAEF" w14:textId="0A3D3873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29A0014F" w14:textId="015B86A6" w:rsidR="00CD25C2" w:rsidRPr="00250767" w:rsidRDefault="003F11FA" w:rsidP="00CD25C2">
            <w:pPr>
              <w:rPr>
                <w:rFonts w:cstheme="minorHAnsi"/>
              </w:rPr>
            </w:pPr>
            <w:r w:rsidRPr="001579D7">
              <w:rPr>
                <w:rFonts w:ascii="Arial" w:hAnsi="Arial" w:cs="Arial"/>
                <w:sz w:val="20"/>
                <w:szCs w:val="20"/>
              </w:rPr>
              <w:t xml:space="preserve">Perú, </w:t>
            </w:r>
            <w:r>
              <w:rPr>
                <w:rFonts w:ascii="Arial" w:hAnsi="Arial" w:cs="Arial"/>
                <w:sz w:val="20"/>
                <w:szCs w:val="20"/>
              </w:rPr>
              <w:t>Lima</w:t>
            </w:r>
            <w:r w:rsidRPr="001579D7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Lima</w:t>
            </w:r>
            <w:r w:rsidRPr="001579D7">
              <w:rPr>
                <w:rFonts w:ascii="Arial" w:hAnsi="Arial" w:cs="Arial"/>
                <w:sz w:val="20"/>
                <w:szCs w:val="20"/>
              </w:rPr>
              <w:t>,</w:t>
            </w:r>
            <w:r w:rsidR="00FE12B7">
              <w:rPr>
                <w:rFonts w:ascii="Arial" w:hAnsi="Arial" w:cs="Arial"/>
                <w:sz w:val="20"/>
                <w:szCs w:val="20"/>
              </w:rPr>
              <w:t xml:space="preserve"> Pueblo Libre,</w:t>
            </w:r>
            <w:r w:rsidRPr="001579D7">
              <w:rPr>
                <w:rFonts w:ascii="Arial" w:hAnsi="Arial" w:cs="Arial"/>
                <w:sz w:val="20"/>
                <w:szCs w:val="20"/>
              </w:rPr>
              <w:t xml:space="preserve"> 2023</w:t>
            </w:r>
          </w:p>
        </w:tc>
      </w:tr>
      <w:tr w:rsidR="00CD25C2" w:rsidRPr="00250767" w14:paraId="494AA20C" w14:textId="77777777" w:rsidTr="00504D0A">
        <w:tc>
          <w:tcPr>
            <w:tcW w:w="2972" w:type="dxa"/>
          </w:tcPr>
          <w:p w14:paraId="6E758B40" w14:textId="2431496E" w:rsidR="00CD25C2" w:rsidRPr="00250767" w:rsidRDefault="00CD25C2" w:rsidP="00CD25C2">
            <w:pPr>
              <w:rPr>
                <w:rFonts w:cstheme="minorHAnsi"/>
                <w:b/>
                <w:bCs/>
              </w:rPr>
            </w:pPr>
            <w:r w:rsidRPr="00250767">
              <w:rPr>
                <w:rFonts w:cstheme="minorHAnsi"/>
                <w:b/>
                <w:bCs/>
              </w:rPr>
              <w:t>Correo de contacto</w:t>
            </w:r>
          </w:p>
        </w:tc>
        <w:tc>
          <w:tcPr>
            <w:tcW w:w="7484" w:type="dxa"/>
          </w:tcPr>
          <w:p w14:paraId="4E87C2D7" w14:textId="66AF5818" w:rsidR="00CD25C2" w:rsidRPr="00250767" w:rsidRDefault="003F11FA" w:rsidP="00CD25C2">
            <w:pPr>
              <w:rPr>
                <w:rFonts w:cstheme="minorHAnsi"/>
              </w:rPr>
            </w:pPr>
            <w:r>
              <w:rPr>
                <w:rFonts w:cstheme="minorHAnsi"/>
              </w:rPr>
              <w:t>mesa.ayuda@muniplibre.gob.pe</w:t>
            </w:r>
          </w:p>
        </w:tc>
      </w:tr>
    </w:tbl>
    <w:p w14:paraId="0E6576BC" w14:textId="2476AD3F" w:rsidR="009F0CA5" w:rsidRPr="00250767" w:rsidRDefault="009F0CA5" w:rsidP="00DA6578">
      <w:pPr>
        <w:rPr>
          <w:rFonts w:cstheme="minorHAnsi"/>
        </w:rPr>
      </w:pPr>
    </w:p>
    <w:sectPr w:rsidR="009F0CA5" w:rsidRPr="00250767" w:rsidSect="005B6B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D491E"/>
    <w:multiLevelType w:val="hybridMultilevel"/>
    <w:tmpl w:val="25AA3212"/>
    <w:lvl w:ilvl="0" w:tplc="198A13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77169201">
    <w:abstractNumId w:val="5"/>
  </w:num>
  <w:num w:numId="2" w16cid:durableId="1311329951">
    <w:abstractNumId w:val="3"/>
  </w:num>
  <w:num w:numId="3" w16cid:durableId="1110055172">
    <w:abstractNumId w:val="2"/>
  </w:num>
  <w:num w:numId="4" w16cid:durableId="892732996">
    <w:abstractNumId w:val="1"/>
  </w:num>
  <w:num w:numId="5" w16cid:durableId="1462846955">
    <w:abstractNumId w:val="4"/>
  </w:num>
  <w:num w:numId="6" w16cid:durableId="44927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F"/>
    <w:rsid w:val="00116DF8"/>
    <w:rsid w:val="00151C17"/>
    <w:rsid w:val="00182C03"/>
    <w:rsid w:val="0020585A"/>
    <w:rsid w:val="00250767"/>
    <w:rsid w:val="00270007"/>
    <w:rsid w:val="00297BE5"/>
    <w:rsid w:val="002A18E2"/>
    <w:rsid w:val="00306482"/>
    <w:rsid w:val="003D0AF5"/>
    <w:rsid w:val="003D6FF9"/>
    <w:rsid w:val="003E4836"/>
    <w:rsid w:val="003F11FA"/>
    <w:rsid w:val="0048753E"/>
    <w:rsid w:val="004F1D9B"/>
    <w:rsid w:val="00504D0A"/>
    <w:rsid w:val="0053263F"/>
    <w:rsid w:val="005B6B57"/>
    <w:rsid w:val="005F2C43"/>
    <w:rsid w:val="00636A28"/>
    <w:rsid w:val="00647FB5"/>
    <w:rsid w:val="00682CD5"/>
    <w:rsid w:val="0070589E"/>
    <w:rsid w:val="00717CED"/>
    <w:rsid w:val="007840A6"/>
    <w:rsid w:val="007F6427"/>
    <w:rsid w:val="00876384"/>
    <w:rsid w:val="00904DBB"/>
    <w:rsid w:val="009379D2"/>
    <w:rsid w:val="0095347C"/>
    <w:rsid w:val="00962F24"/>
    <w:rsid w:val="009A7FF5"/>
    <w:rsid w:val="009B0AA2"/>
    <w:rsid w:val="009F0CA5"/>
    <w:rsid w:val="00AA7E5A"/>
    <w:rsid w:val="00B27C25"/>
    <w:rsid w:val="00B6616D"/>
    <w:rsid w:val="00BE2CC3"/>
    <w:rsid w:val="00C2772E"/>
    <w:rsid w:val="00C84600"/>
    <w:rsid w:val="00C961F8"/>
    <w:rsid w:val="00C97923"/>
    <w:rsid w:val="00CD25C2"/>
    <w:rsid w:val="00CF6028"/>
    <w:rsid w:val="00D00322"/>
    <w:rsid w:val="00D5559D"/>
    <w:rsid w:val="00D957C7"/>
    <w:rsid w:val="00DA6578"/>
    <w:rsid w:val="00E47017"/>
    <w:rsid w:val="00E807FB"/>
    <w:rsid w:val="00EB1A82"/>
    <w:rsid w:val="00EF4D12"/>
    <w:rsid w:val="00F1229D"/>
    <w:rsid w:val="00F66923"/>
    <w:rsid w:val="00F71199"/>
    <w:rsid w:val="00F91F91"/>
    <w:rsid w:val="00FA048A"/>
    <w:rsid w:val="00FC511E"/>
    <w:rsid w:val="00FE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Charles Jefferson Rojas Rodriguez</cp:lastModifiedBy>
  <cp:revision>8</cp:revision>
  <dcterms:created xsi:type="dcterms:W3CDTF">2024-04-30T16:17:00Z</dcterms:created>
  <dcterms:modified xsi:type="dcterms:W3CDTF">2024-05-09T23:15:00Z</dcterms:modified>
</cp:coreProperties>
</file>