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A9AD1B" w14:textId="77777777" w:rsidR="003D4D6B" w:rsidRPr="006D1723" w:rsidRDefault="00000000">
      <w:pPr>
        <w:spacing w:before="60" w:after="80"/>
        <w:rPr>
          <w:color w:val="000000" w:themeColor="text1"/>
        </w:rPr>
      </w:pPr>
      <w:r w:rsidRPr="006D1723">
        <w:rPr>
          <w:b/>
          <w:color w:val="000000" w:themeColor="text1"/>
          <w:sz w:val="18"/>
        </w:rPr>
        <w:t>SCIENTIFIC ABSTRACT</w:t>
      </w:r>
    </w:p>
    <w:p w14:paraId="41628EEB" w14:textId="73CCFB98" w:rsidR="003D4D6B" w:rsidRPr="006D1723" w:rsidRDefault="00000000">
      <w:pPr>
        <w:keepNext/>
        <w:spacing w:after="160" w:line="240" w:lineRule="auto"/>
        <w:rPr>
          <w:color w:val="000000" w:themeColor="text1"/>
        </w:rPr>
      </w:pPr>
      <w:r>
        <w:rPr>
          <w:b/>
          <w:color w:val="000000" w:themeColor="text1"/>
          <w:sz w:val="36"/>
        </w:rPr>
        <w:t>CHEWS improves cis-heritability precision over individual-level GCTA for sparse regulation in small samples</w:t>
      </w:r>
    </w:p>
    <w:p w14:paraId="24A5A335" w14:textId="0B706067" w:rsidR="00B96C0C" w:rsidRPr="006D1723" w:rsidRDefault="00DC7C65">
      <w:pPr>
        <w:spacing w:after="40" w:line="240" w:lineRule="auto"/>
        <w:rPr>
          <w:rFonts w:hint="eastAsia"/>
          <w:color w:val="000000" w:themeColor="text1"/>
          <w:sz w:val="20"/>
          <w:szCs w:val="20"/>
          <w:lang w:eastAsia="zh-CN"/>
        </w:rPr>
      </w:pPr>
      <w:r>
        <w:rPr>
          <w:color w:val="000000" w:themeColor="text1"/>
          <w:sz w:val="20"/>
          <w:szCs w:val="20"/>
        </w:rPr>
        <w:t>Sunan Xu</w:t>
      </w:r>
      <w:r>
        <w:rPr>
          <w:color w:val="000000" w:themeColor="text1"/>
          <w:sz w:val="20"/>
          <w:szCs w:val="20"/>
          <w:vertAlign w:val="superscript"/>
        </w:rPr>
        <w:t>1</w:t>
      </w:r>
      <w:r>
        <w:rPr>
          <w:color w:val="000000" w:themeColor="text1"/>
          <w:sz w:val="20"/>
          <w:szCs w:val="20"/>
        </w:rPr>
        <w:t>; Stephen Golzari</w:t>
      </w:r>
      <w:r w:rsidR="0095341E" w:rsidRPr="0095341E">
        <w:rPr>
          <w:rFonts w:hint="eastAsia"/>
          <w:color w:val="000000" w:themeColor="text1"/>
          <w:sz w:val="20"/>
          <w:szCs w:val="20"/>
          <w:vertAlign w:val="superscript"/>
          <w:lang w:eastAsia="zh-CN"/>
        </w:rPr>
        <w:t>2</w:t>
      </w:r>
      <w:r w:rsidRPr="00614E0A">
        <w:rPr>
          <w:color w:val="000000" w:themeColor="text1"/>
          <w:sz w:val="20"/>
          <w:szCs w:val="20"/>
        </w:rPr>
        <w:t>;</w:t>
      </w:r>
      <w:r>
        <w:rPr>
          <w:color w:val="000000" w:themeColor="text1"/>
          <w:sz w:val="20"/>
          <w:szCs w:val="20"/>
        </w:rPr>
        <w:t xml:space="preserve"> Tiffany Amariuta-Bartell</w:t>
      </w:r>
      <w:r w:rsidR="00631288">
        <w:rPr>
          <w:rFonts w:hint="eastAsia"/>
          <w:color w:val="000000" w:themeColor="text1"/>
          <w:sz w:val="20"/>
          <w:szCs w:val="20"/>
          <w:vertAlign w:val="superscript"/>
          <w:lang w:eastAsia="zh-CN"/>
        </w:rPr>
        <w:t>3</w:t>
      </w:r>
      <w:r>
        <w:rPr>
          <w:color w:val="000000" w:themeColor="text1"/>
          <w:sz w:val="20"/>
          <w:szCs w:val="20"/>
          <w:vertAlign w:val="superscript"/>
        </w:rPr>
        <w:t>,</w:t>
      </w:r>
      <w:r w:rsidR="00631288">
        <w:rPr>
          <w:rFonts w:hint="eastAsia"/>
          <w:color w:val="000000" w:themeColor="text1"/>
          <w:sz w:val="20"/>
          <w:szCs w:val="20"/>
          <w:vertAlign w:val="superscript"/>
          <w:lang w:eastAsia="zh-CN"/>
        </w:rPr>
        <w:t>4</w:t>
      </w:r>
    </w:p>
    <w:p w14:paraId="302FDA1D" w14:textId="77777777" w:rsidR="00B96C0C" w:rsidRPr="006D1723" w:rsidRDefault="00B96C0C" w:rsidP="00B96C0C">
      <w:pPr>
        <w:spacing w:after="40" w:line="240" w:lineRule="auto"/>
        <w:rPr>
          <w:b/>
          <w:color w:val="000000" w:themeColor="text1"/>
          <w:sz w:val="20"/>
        </w:rPr>
      </w:pPr>
    </w:p>
    <w:p w14:paraId="0BF16BD8" w14:textId="4E2B900A" w:rsidR="00B96C0C" w:rsidRDefault="00B96C0C" w:rsidP="00DC7C65">
      <w:pPr>
        <w:spacing w:after="40" w:line="240" w:lineRule="auto"/>
        <w:jc w:val="center"/>
        <w:rPr>
          <w:bCs/>
          <w:color w:val="000000" w:themeColor="text1"/>
          <w:sz w:val="20"/>
          <w:lang w:eastAsia="zh-CN"/>
        </w:rPr>
      </w:pPr>
      <w:r w:rsidRPr="006D1723">
        <w:rPr>
          <w:bCs/>
          <w:color w:val="000000" w:themeColor="text1"/>
          <w:sz w:val="20"/>
          <w:vertAlign w:val="superscript"/>
        </w:rPr>
        <w:t>1</w:t>
      </w:r>
      <w:r w:rsidRPr="006D1723">
        <w:rPr>
          <w:bCs/>
          <w:color w:val="000000" w:themeColor="text1"/>
          <w:sz w:val="20"/>
        </w:rPr>
        <w:t>Bioinformatics and System Biology Program, University of California San Diego, La Jolla, CA, USA</w:t>
      </w:r>
    </w:p>
    <w:p w14:paraId="3687559C" w14:textId="06EBD87B" w:rsidR="0095341E" w:rsidRPr="006D1723" w:rsidRDefault="0095341E" w:rsidP="0095341E">
      <w:pPr>
        <w:spacing w:after="40" w:line="240" w:lineRule="auto"/>
        <w:jc w:val="center"/>
        <w:rPr>
          <w:rFonts w:hint="eastAsia"/>
          <w:bCs/>
          <w:color w:val="000000" w:themeColor="text1"/>
          <w:sz w:val="20"/>
          <w:lang w:eastAsia="zh-CN"/>
        </w:rPr>
      </w:pPr>
      <w:r w:rsidRPr="0095341E">
        <w:rPr>
          <w:rFonts w:hint="eastAsia"/>
          <w:bCs/>
          <w:color w:val="000000" w:themeColor="text1"/>
          <w:sz w:val="20"/>
          <w:vertAlign w:val="superscript"/>
          <w:lang w:eastAsia="zh-CN"/>
        </w:rPr>
        <w:t>2</w:t>
      </w:r>
      <w:r w:rsidRPr="0095341E">
        <w:rPr>
          <w:bCs/>
          <w:color w:val="000000" w:themeColor="text1"/>
          <w:sz w:val="20"/>
          <w:lang w:eastAsia="zh-CN"/>
        </w:rPr>
        <w:t xml:space="preserve">Shu Chien-Gene Lay Department of Bioengineering, </w:t>
      </w:r>
      <w:r w:rsidR="00E85495" w:rsidRPr="006D1723">
        <w:rPr>
          <w:bCs/>
          <w:color w:val="000000" w:themeColor="text1"/>
          <w:sz w:val="20"/>
        </w:rPr>
        <w:t>University of California San Diego</w:t>
      </w:r>
      <w:r w:rsidRPr="0095341E">
        <w:rPr>
          <w:bCs/>
          <w:color w:val="000000" w:themeColor="text1"/>
          <w:sz w:val="20"/>
          <w:lang w:eastAsia="zh-CN"/>
        </w:rPr>
        <w:t>, La Jolla, CA, USA</w:t>
      </w:r>
    </w:p>
    <w:p w14:paraId="26AF4ED2" w14:textId="6FB6BC2C" w:rsidR="00B96C0C" w:rsidRPr="006D1723" w:rsidRDefault="0095341E" w:rsidP="00DC7C65">
      <w:pPr>
        <w:spacing w:after="40" w:line="240" w:lineRule="auto"/>
        <w:jc w:val="center"/>
        <w:rPr>
          <w:bCs/>
          <w:color w:val="000000" w:themeColor="text1"/>
          <w:sz w:val="20"/>
        </w:rPr>
      </w:pPr>
      <w:r>
        <w:rPr>
          <w:rFonts w:hint="eastAsia"/>
          <w:bCs/>
          <w:color w:val="000000" w:themeColor="text1"/>
          <w:sz w:val="20"/>
          <w:vertAlign w:val="superscript"/>
          <w:lang w:eastAsia="zh-CN"/>
        </w:rPr>
        <w:t>3</w:t>
      </w:r>
      <w:r w:rsidR="00B96C0C" w:rsidRPr="006D1723">
        <w:rPr>
          <w:bCs/>
          <w:color w:val="000000" w:themeColor="text1"/>
          <w:sz w:val="20"/>
        </w:rPr>
        <w:t>Department of Medicine, University of California San Diego, La Jolla, CA, USA</w:t>
      </w:r>
    </w:p>
    <w:p w14:paraId="5B26D474" w14:textId="3D89314A" w:rsidR="00B96C0C" w:rsidRPr="006D1723" w:rsidRDefault="0095341E" w:rsidP="00DC7C65">
      <w:pPr>
        <w:spacing w:after="40" w:line="240" w:lineRule="auto"/>
        <w:jc w:val="center"/>
        <w:rPr>
          <w:bCs/>
          <w:color w:val="000000" w:themeColor="text1"/>
          <w:sz w:val="20"/>
        </w:rPr>
      </w:pPr>
      <w:r>
        <w:rPr>
          <w:rFonts w:hint="eastAsia"/>
          <w:bCs/>
          <w:color w:val="000000" w:themeColor="text1"/>
          <w:sz w:val="20"/>
          <w:vertAlign w:val="superscript"/>
          <w:lang w:eastAsia="zh-CN"/>
        </w:rPr>
        <w:t>4</w:t>
      </w:r>
      <w:r w:rsidR="00B96C0C" w:rsidRPr="006D1723">
        <w:rPr>
          <w:bCs/>
          <w:color w:val="000000" w:themeColor="text1"/>
          <w:sz w:val="20"/>
        </w:rPr>
        <w:t>Halıcıoğlu Data Science Institute, University of California San Diego, La Jolla, CA, USA</w:t>
      </w:r>
    </w:p>
    <w:p w14:paraId="18B598F2" w14:textId="77777777" w:rsidR="00B96C0C" w:rsidRPr="006D1723" w:rsidRDefault="00B96C0C">
      <w:pPr>
        <w:spacing w:after="40" w:line="240" w:lineRule="auto"/>
        <w:rPr>
          <w:b/>
          <w:color w:val="000000" w:themeColor="text1"/>
          <w:sz w:val="20"/>
        </w:rPr>
      </w:pPr>
    </w:p>
    <w:p w14:paraId="77FB13AD" w14:textId="6E187275" w:rsidR="003D4D6B" w:rsidRPr="006D1723" w:rsidRDefault="00000000">
      <w:pPr>
        <w:spacing w:after="40" w:line="240" w:lineRule="auto"/>
        <w:rPr>
          <w:color w:val="000000" w:themeColor="text1"/>
        </w:rPr>
      </w:pPr>
      <w:r>
        <w:rPr>
          <w:b/>
          <w:color w:val="000000" w:themeColor="text1"/>
          <w:sz w:val="20"/>
        </w:rPr>
        <w:t xml:space="preserve">Preferred presentation format: </w:t>
      </w:r>
      <w:r>
        <w:rPr>
          <w:color w:val="000000" w:themeColor="text1"/>
          <w:sz w:val="20"/>
        </w:rPr>
        <w:t>Poster; also willing to be considered for a 2-3-minute GPS lightning talk</w:t>
      </w:r>
    </w:p>
    <w:p w14:paraId="762ED82B" w14:textId="39F2D124" w:rsidR="003D4D6B" w:rsidRPr="006D1723" w:rsidRDefault="00000000">
      <w:pPr>
        <w:spacing w:after="40" w:line="240" w:lineRule="auto"/>
        <w:rPr>
          <w:color w:val="000000" w:themeColor="text1"/>
        </w:rPr>
      </w:pPr>
      <w:r w:rsidRPr="006D1723">
        <w:rPr>
          <w:b/>
          <w:color w:val="000000" w:themeColor="text1"/>
          <w:sz w:val="20"/>
        </w:rPr>
        <w:t>GPS:</w:t>
      </w:r>
      <w:r w:rsidR="005D19FA" w:rsidRPr="006D1723">
        <w:rPr>
          <w:b/>
          <w:color w:val="000000" w:themeColor="text1"/>
          <w:sz w:val="20"/>
        </w:rPr>
        <w:t xml:space="preserve"> </w:t>
      </w:r>
      <w:r w:rsidR="00B167C7" w:rsidRPr="006D1723">
        <w:rPr>
          <w:bCs/>
          <w:color w:val="000000" w:themeColor="text1"/>
          <w:sz w:val="20"/>
        </w:rPr>
        <w:t>Yes</w:t>
      </w:r>
    </w:p>
    <w:p w14:paraId="7E27E147" w14:textId="77777777" w:rsidR="003D4D6B" w:rsidRPr="006D1723" w:rsidRDefault="00000000">
      <w:pPr>
        <w:pStyle w:val="Heading2"/>
        <w:spacing w:before="180"/>
        <w:rPr>
          <w:color w:val="000000" w:themeColor="text1"/>
        </w:rPr>
      </w:pPr>
      <w:r w:rsidRPr="006D1723">
        <w:rPr>
          <w:color w:val="000000" w:themeColor="text1"/>
        </w:rPr>
        <w:t>Abstract</w:t>
      </w:r>
    </w:p>
    <w:p w14:paraId="5AFA6424" w14:textId="272A5EDE" w:rsidR="003D4D6B" w:rsidRDefault="00000000">
      <w:pPr>
        <w:spacing w:line="252" w:lineRule="auto"/>
      </w:pPr>
      <w:r>
        <w:t xml:space="preserve">Cis-SNP heritability (cis-h²) quantifies genetic regulation and informs gene prioritization. GCTA requires individual-level data and cannot analyze summary statistics. We developed CHEWS (Cis-Heritability Estimation </w:t>
      </w:r>
      <w:proofErr w:type="gramStart"/>
      <w:r>
        <w:t>With</w:t>
      </w:r>
      <w:proofErr w:type="gramEnd"/>
      <w:r>
        <w:t xml:space="preserve"> SuSiE), estimating cis-h² from posterior second moments of fine-mapped effects.</w:t>
      </w:r>
    </w:p>
    <w:p w14:paraId="52E0A2F3" w14:textId="1A156333" w:rsidR="003D4D6B" w:rsidRDefault="00000000">
      <w:pPr>
        <w:spacing w:line="252" w:lineRule="auto"/>
      </w:pPr>
      <w:r>
        <w:t>We benchmarked CHEWS against GCTA in 20,294 paired fits across 350 1000 Genomes EUR cis-regions (+/-500 kb; median 8,200 SNPs). Simulations varied sample size (100-1,000), true cis-h² (0.05-0.8), causal</w:t>
      </w:r>
      <w:r w:rsidR="00F168A0">
        <w:t xml:space="preserve"> </w:t>
      </w:r>
      <w:r>
        <w:t>variant count (1-20), effect distribution (</w:t>
      </w:r>
      <w:r w:rsidR="00F168A0">
        <w:t>uniform</w:t>
      </w:r>
      <w:r>
        <w:t xml:space="preserve">, normal, or heavy-tailed), allele frequency, and linkage disequilibrium. We tested </w:t>
      </w:r>
      <w:r w:rsidR="00F168A0">
        <w:t xml:space="preserve">estimation </w:t>
      </w:r>
      <w:r>
        <w:t>patterns for 19,432 genes in GTEx v8 whole blood (574 individuals of European descent), using nested sample sizes and in-sample LD.</w:t>
      </w:r>
    </w:p>
    <w:p w14:paraId="0ED8375F" w14:textId="45143548" w:rsidR="003D4D6B" w:rsidRDefault="00377EC3">
      <w:pPr>
        <w:spacing w:line="252" w:lineRule="auto"/>
      </w:pPr>
      <w:r>
        <w:t xml:space="preserve">Across 1,000 simulations </w:t>
      </w:r>
      <w:r w:rsidR="00F168A0">
        <w:t xml:space="preserve">with a single causal variant </w:t>
      </w:r>
      <w:r>
        <w:t xml:space="preserve">spanning </w:t>
      </w:r>
      <w:r w:rsidR="00F168A0">
        <w:t xml:space="preserve">variable </w:t>
      </w:r>
      <w:r>
        <w:t xml:space="preserve">sample sizes and cis-h² values, CHEWS was nearly unbiased (mean estimate minus truth = -0.008) and more accurate than GCTA at 76% of loci. With 20 causal variants, CHEWS </w:t>
      </w:r>
      <w:r w:rsidR="00C93386">
        <w:t>was less accurate</w:t>
      </w:r>
      <w:r>
        <w:t xml:space="preserve"> (bias = -0.13), whereas GCTA remained nearly unbiased (-0.005). At n=100, CHEWS had lower mean absolute error than GCTA (0.142 versus 0.205); by n=1,000, the difference narrowed (0.039 versus 0.044). Across sample</w:t>
      </w:r>
      <w:r w:rsidR="00F168A0">
        <w:t xml:space="preserve"> </w:t>
      </w:r>
      <w:r>
        <w:t xml:space="preserve">size conditions, </w:t>
      </w:r>
      <w:r w:rsidR="00F168A0">
        <w:t xml:space="preserve">only </w:t>
      </w:r>
      <w:r>
        <w:t xml:space="preserve">0.1-0.3% of CHEWS estimates </w:t>
      </w:r>
      <w:r w:rsidR="00F168A0">
        <w:t>fell outside the interpretable heritability range of 0-100</w:t>
      </w:r>
      <w:r w:rsidR="00561310">
        <w:t>%;</w:t>
      </w:r>
      <w:r w:rsidR="00F168A0">
        <w:t xml:space="preserve"> we suggest removing such values due to lack of interpretability</w:t>
      </w:r>
      <w:r>
        <w:t xml:space="preserve">. In GTEx, the mean CHEWS-GCTA difference narrowed from -0.151 at n=100 to -0.023 at n=574, while correlation increased from 0.61 to 0.88. Within cis-h² strata, disagreement was greatest for genes with </w:t>
      </w:r>
      <w:proofErr w:type="gramStart"/>
      <w:r>
        <w:t>no</w:t>
      </w:r>
      <w:proofErr w:type="gramEnd"/>
      <w:r>
        <w:t xml:space="preserve"> independently detectable cis-eQTLs, consistent with regulation distributed across many weak effects.</w:t>
      </w:r>
    </w:p>
    <w:p w14:paraId="17D0EAFE" w14:textId="6C05955D" w:rsidR="003D4D6B" w:rsidRDefault="00000000">
      <w:pPr>
        <w:spacing w:line="252" w:lineRule="auto"/>
      </w:pPr>
      <w:r>
        <w:t xml:space="preserve">CHEWS estimates cis-h² more precisely than individual-level GCTA in small samples with sparse regulation using summary statistics, enabling analysis when individual-level data are unavailable. Conversely, GCTA better captures regulation distributed across many weak cis effects. </w:t>
      </w:r>
      <w:r w:rsidR="00F168A0">
        <w:t>We recommend that h</w:t>
      </w:r>
      <w:r>
        <w:t>eritability estimators be chosen according to data availability, sample size, and regulatory architecture.</w:t>
      </w:r>
    </w:p>
    <w:sectPr w:rsidR="003D4D6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65357E" w14:textId="77777777" w:rsidR="00B26AB1" w:rsidRDefault="00B26AB1">
      <w:pPr>
        <w:spacing w:after="0" w:line="240" w:lineRule="auto"/>
      </w:pPr>
      <w:r>
        <w:separator/>
      </w:r>
    </w:p>
  </w:endnote>
  <w:endnote w:type="continuationSeparator" w:id="0">
    <w:p w14:paraId="46B598E6" w14:textId="77777777" w:rsidR="00B26AB1" w:rsidRDefault="00B26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69654A" w14:textId="122D1F1E" w:rsidR="003D4D6B" w:rsidRDefault="003D4D6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B762F5" w14:textId="77777777" w:rsidR="00B26AB1" w:rsidRDefault="00B26AB1">
      <w:pPr>
        <w:spacing w:after="0" w:line="240" w:lineRule="auto"/>
      </w:pPr>
      <w:r>
        <w:separator/>
      </w:r>
    </w:p>
  </w:footnote>
  <w:footnote w:type="continuationSeparator" w:id="0">
    <w:p w14:paraId="3AFB4599" w14:textId="77777777" w:rsidR="00B26AB1" w:rsidRDefault="00B26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57C0EC" w14:textId="21B8E5C5" w:rsidR="003D4D6B" w:rsidRDefault="00000000">
    <w:pPr>
      <w:pStyle w:val="Header"/>
    </w:pPr>
    <w:r>
      <w:rPr>
        <w:b/>
        <w:color w:val="595959"/>
        <w:sz w:val="17"/>
      </w:rPr>
      <w:t>IGVF Annual Meeting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D59A9"/>
    <w:multiLevelType w:val="multilevel"/>
    <w:tmpl w:val="CE5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85E14"/>
    <w:multiLevelType w:val="multilevel"/>
    <w:tmpl w:val="DB9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15922">
    <w:abstractNumId w:val="8"/>
  </w:num>
  <w:num w:numId="2" w16cid:durableId="1662733893">
    <w:abstractNumId w:val="6"/>
  </w:num>
  <w:num w:numId="3" w16cid:durableId="1839073240">
    <w:abstractNumId w:val="5"/>
  </w:num>
  <w:num w:numId="4" w16cid:durableId="533353208">
    <w:abstractNumId w:val="4"/>
  </w:num>
  <w:num w:numId="5" w16cid:durableId="1333948474">
    <w:abstractNumId w:val="7"/>
  </w:num>
  <w:num w:numId="6" w16cid:durableId="2045128121">
    <w:abstractNumId w:val="3"/>
  </w:num>
  <w:num w:numId="7" w16cid:durableId="930966444">
    <w:abstractNumId w:val="2"/>
  </w:num>
  <w:num w:numId="8" w16cid:durableId="1049112185">
    <w:abstractNumId w:val="1"/>
  </w:num>
  <w:num w:numId="9" w16cid:durableId="959074607">
    <w:abstractNumId w:val="0"/>
  </w:num>
  <w:num w:numId="10" w16cid:durableId="1303268279">
    <w:abstractNumId w:val="10"/>
  </w:num>
  <w:num w:numId="11" w16cid:durableId="32651683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83D"/>
    <w:rsid w:val="001A2BE1"/>
    <w:rsid w:val="0027441B"/>
    <w:rsid w:val="00286976"/>
    <w:rsid w:val="0029639D"/>
    <w:rsid w:val="00326F90"/>
    <w:rsid w:val="00377EC3"/>
    <w:rsid w:val="003C4956"/>
    <w:rsid w:val="003D4D6B"/>
    <w:rsid w:val="00422A5B"/>
    <w:rsid w:val="00422C9D"/>
    <w:rsid w:val="00561310"/>
    <w:rsid w:val="005D19FA"/>
    <w:rsid w:val="00614E0A"/>
    <w:rsid w:val="00631288"/>
    <w:rsid w:val="006A4F5E"/>
    <w:rsid w:val="006D1723"/>
    <w:rsid w:val="0071752E"/>
    <w:rsid w:val="00795DB1"/>
    <w:rsid w:val="0095341E"/>
    <w:rsid w:val="009D1F6E"/>
    <w:rsid w:val="00A7330F"/>
    <w:rsid w:val="00AA1D8D"/>
    <w:rsid w:val="00B167C7"/>
    <w:rsid w:val="00B26AB1"/>
    <w:rsid w:val="00B47108"/>
    <w:rsid w:val="00B47730"/>
    <w:rsid w:val="00B54D98"/>
    <w:rsid w:val="00B76840"/>
    <w:rsid w:val="00B96C0C"/>
    <w:rsid w:val="00C6773D"/>
    <w:rsid w:val="00C93386"/>
    <w:rsid w:val="00CB0664"/>
    <w:rsid w:val="00CC493F"/>
    <w:rsid w:val="00D1305F"/>
    <w:rsid w:val="00DA7B31"/>
    <w:rsid w:val="00DC7C65"/>
    <w:rsid w:val="00E45BA8"/>
    <w:rsid w:val="00E85495"/>
    <w:rsid w:val="00F168A0"/>
    <w:rsid w:val="00F9219A"/>
    <w:rsid w:val="00FC693F"/>
    <w:rsid w:val="00FE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EFADA"/>
  <w14:defaultImageDpi w14:val="300"/>
  <w15:docId w15:val="{B4E54F0F-4FED-1E40-8CD9-3F332558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22C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C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C9D"/>
    <w:rPr>
      <w:rFonts w:ascii="Calibri" w:hAnsi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C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C9D"/>
    <w:rPr>
      <w:rFonts w:ascii="Calibri" w:hAnsi="Calibri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422C9D"/>
    <w:pPr>
      <w:spacing w:after="0" w:line="240" w:lineRule="auto"/>
    </w:pPr>
    <w:rPr>
      <w:rFonts w:ascii="Calibri" w:hAnsi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Fine-mapping-based estimation of cis-heritability reveals predictable architecture- and sample-size-dependent bias</vt:lpstr>
    </vt:vector>
  </TitlesOfParts>
  <Manager/>
  <Company/>
  <LinksUpToDate>false</LinksUpToDate>
  <CharactersWithSpaces>2816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CHEWS improves cis-heritability precision over individual-level GCTA for sparse regulation in small samples</dc:title>
  <dc:subject>IGVF Annual Meeting 2026 abstract</dc:subject>
  <dc:creator>Sunan Xu</dc:creator>
  <cp:keywords>IGVF, CHEWS, cis-heritability, SuSiE, GCTA, GTEx</cp:keywords>
  <dc:description>generated by python-docx</dc:description>
  <cp:lastModifiedBy>Sunan Xu</cp:lastModifiedBy>
  <cp:revision>18</cp:revision>
  <dcterms:created xsi:type="dcterms:W3CDTF">2026-08-07T18:28:00Z</dcterms:created>
  <dcterms:modified xsi:type="dcterms:W3CDTF">2026-08-08T01:37:00Z</dcterms:modified>
  <cp:category/>
</cp:coreProperties>
</file>