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BBDA0" w14:textId="5694492B" w:rsidR="00BC3365" w:rsidRPr="00DF7E71" w:rsidRDefault="00BC3365" w:rsidP="00BC3365">
      <w:pPr>
        <w:jc w:val="center"/>
        <w:rPr>
          <w:b/>
          <w:bCs/>
          <w:sz w:val="32"/>
          <w:szCs w:val="32"/>
        </w:rPr>
      </w:pPr>
      <w:r w:rsidRPr="00DF7E71">
        <w:rPr>
          <w:b/>
          <w:bCs/>
          <w:sz w:val="32"/>
          <w:szCs w:val="32"/>
        </w:rPr>
        <w:t xml:space="preserve">Registry </w:t>
      </w:r>
      <w:r>
        <w:rPr>
          <w:b/>
          <w:bCs/>
          <w:sz w:val="32"/>
          <w:szCs w:val="32"/>
        </w:rPr>
        <w:t>Section</w:t>
      </w:r>
    </w:p>
    <w:p w14:paraId="699670AC" w14:textId="77777777" w:rsidR="00BC3365" w:rsidRPr="002F647D" w:rsidRDefault="00BC3365" w:rsidP="00BC3365">
      <w:pPr>
        <w:pStyle w:val="NormalWeb"/>
        <w:jc w:val="both"/>
        <w:rPr>
          <w:rFonts w:asciiTheme="minorHAnsi" w:eastAsia="Times New Roman" w:hAnsiTheme="minorHAnsi" w:cstheme="minorHAnsi"/>
        </w:rPr>
      </w:pPr>
      <w:r w:rsidRPr="002F647D">
        <w:rPr>
          <w:rFonts w:asciiTheme="minorHAnsi" w:hAnsiTheme="minorHAnsi" w:cstheme="minorHAnsi"/>
          <w:b/>
          <w:bCs/>
        </w:rPr>
        <w:br/>
      </w:r>
      <w:r w:rsidRPr="002F647D">
        <w:rPr>
          <w:rFonts w:asciiTheme="minorHAnsi" w:eastAsia="Times New Roman" w:hAnsiTheme="minorHAnsi" w:cstheme="minorHAnsi"/>
          <w:b/>
          <w:bCs/>
        </w:rPr>
        <w:t xml:space="preserve">The Registry Section </w:t>
      </w:r>
      <w:r w:rsidRPr="002F647D">
        <w:rPr>
          <w:rFonts w:asciiTheme="minorHAnsi" w:eastAsia="Times New Roman" w:hAnsiTheme="minorHAnsi" w:cstheme="minorHAnsi"/>
        </w:rPr>
        <w:t>serves as the central repository for all essential documents and records pertaining to the Corporation’s properties and transactions. It handles the storage and retrieval of documents, ensuring they remain confidential, accurate, and easily accessible when required. Overall, the Registry Department serves as a vital administrative hub, supporting the Corporation’s operations and compliance efforts with meticulous record-keeping and document management practices.</w:t>
      </w:r>
    </w:p>
    <w:p w14:paraId="45EAA0C7" w14:textId="77777777" w:rsidR="00BC3365" w:rsidRDefault="00BC3365"/>
    <w:sectPr w:rsidR="00BC3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65"/>
    <w:rsid w:val="00BC3365"/>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CC07"/>
  <w15:chartTrackingRefBased/>
  <w15:docId w15:val="{8EEA6739-4DB4-486B-B6B3-0C38117D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65"/>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3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1</cp:revision>
  <dcterms:created xsi:type="dcterms:W3CDTF">2024-05-03T20:28:00Z</dcterms:created>
  <dcterms:modified xsi:type="dcterms:W3CDTF">2024-05-03T20:28:00Z</dcterms:modified>
</cp:coreProperties>
</file>