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200" w:line="360"/>
        <w:ind w:right="-360" w:left="-360" w:firstLine="0"/>
        <w:jc w:val="left"/>
        <w:rPr>
          <w:rFonts w:ascii="Arial" w:hAnsi="Arial" w:cs="Arial" w:eastAsia="Arial"/>
          <w:b/>
          <w:color w:val="3C4043"/>
          <w:spacing w:val="0"/>
          <w:position w:val="0"/>
          <w:sz w:val="40"/>
          <w:u w:val="single"/>
          <w:shd w:fill="auto" w:val="clear"/>
        </w:rPr>
      </w:pPr>
      <w:r>
        <w:rPr>
          <w:rFonts w:ascii="Arial" w:hAnsi="Arial" w:cs="Arial" w:eastAsia="Arial"/>
          <w:b/>
          <w:color w:val="3C4043"/>
          <w:spacing w:val="0"/>
          <w:position w:val="0"/>
          <w:sz w:val="40"/>
          <w:u w:val="single"/>
          <w:shd w:fill="auto" w:val="clear"/>
        </w:rPr>
        <w:t xml:space="preserve">Análisis del informe del incidente</w:t>
      </w:r>
    </w:p>
    <w:p>
      <w:pPr>
        <w:spacing w:before="0" w:after="200" w:line="360"/>
        <w:ind w:right="-360" w:left="-360" w:firstLine="0"/>
        <w:jc w:val="left"/>
        <w:rPr>
          <w:rFonts w:ascii="Arial" w:hAnsi="Arial" w:cs="Arial" w:eastAsia="Arial"/>
          <w:b/>
          <w:color w:val="34A85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34A853"/>
          <w:spacing w:val="0"/>
          <w:position w:val="0"/>
          <w:sz w:val="24"/>
          <w:u w:val="single"/>
          <w:shd w:fill="auto" w:val="clear"/>
        </w:rPr>
        <w:t xml:space="preserve">Instrucciones</w:t>
      </w:r>
    </w:p>
    <w:p>
      <w:pPr>
        <w:spacing w:before="0" w:after="200" w:line="360"/>
        <w:ind w:right="-360" w:left="-36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A medida que avances en el curso, puedes usar esta plantilla para registrar tus conclusiones tras completar una actividad o para tomar notas sobre lo que aprendiste acerca de una herramienta o concepto específico. También puedes usar esta tabla como una forma de practicar la aplicación del marco CSF del NIST a diferentes situaciones que te encuentres.</w:t>
      </w:r>
    </w:p>
    <w:tbl>
      <w:tblPr/>
      <w:tblGrid>
        <w:gridCol w:w="2055"/>
        <w:gridCol w:w="8025"/>
      </w:tblGrid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Resumen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 red de la empresa multimedia sufrió una caída debido a una avalancha de paquetes ICMP entrantes, lo que provocó la interrupción de servicios no críticos durante al menos 2 horas. Los servicios críticos se mantuvieron operativos mientras se resolvía el problema de red.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El equipo de ciberseguridad identificó un firewall no configurado adecuadamente, que permitió a un actor malicioso realizar un ataque DDoS. El tráfico normal de datos se vio afectado debido a la inundación de múltiples paquetes ICMP.</w:t>
              <w:br/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Medidas tomadas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  <w:br/>
              <w:t xml:space="preserve">- Implementación de una nueva regla de firewall para limitar los paquetes ICMP entrantes.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Monitoreo de la red para detectar patrones de tráfico anómalos.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Implementación de un sistema IDS/IPS.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Auditoría de Equipos y Conexiones: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Se auditó el hardware de red (router, switch, módem) y la configuración de la conexión a la red.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Se revisaron los protocolos de firewall y los involucrados en el ataque.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Descubrimiento del Problema:</w:t>
              <w:br/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- Un firewall no configurado permitió el ataque DDoS, afectando algunos servicios y manteniendo solo los necesarios para el funcionamiento web.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Proteger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Protección de Servidores: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Apagado de algunos servicios durante aproximadamente 2 horas.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Configuración de un firewall para limitar la tasa de paquetes ICMP entrantes.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Implementación de un software de monitoreo para controlar el tráfico de datos sospechosos.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Agregado de un sistema IDS/IPS para filtrar el tráfico ICMP basado en características sospechosas.</w:t>
            </w:r>
          </w:p>
        </w:tc>
      </w:tr>
      <w:tr>
        <w:trPr>
          <w:trHeight w:val="20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Detectar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Herramientas SIEM:</w:t>
            </w:r>
          </w:p>
          <w:p>
            <w:pPr>
              <w:numPr>
                <w:ilvl w:val="0"/>
                <w:numId w:val="14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Utilizadas para recopilar datos de eventos y registros de dispositivos conectados a la red.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Monitoreo de Red en Tiempo Real:</w:t>
            </w:r>
          </w:p>
          <w:p>
            <w:pPr>
              <w:numPr>
                <w:ilvl w:val="0"/>
                <w:numId w:val="16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Observación del tráfico de red en tiempo real mediante software de monitoreo.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 IDS/IPS y Firewall:</w:t>
            </w:r>
          </w:p>
          <w:p>
            <w:pPr>
              <w:numPr>
                <w:ilvl w:val="0"/>
                <w:numId w:val="18"/>
              </w:numPr>
              <w:spacing w:before="0" w:after="0" w:line="36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Utilizados para detectar y filtrar el tráfico malicioso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Responder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Monitoreo de Red:</w:t>
            </w:r>
          </w:p>
          <w:p>
            <w:pPr>
              <w:numPr>
                <w:ilvl w:val="0"/>
                <w:numId w:val="22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Configurado para establecer un comportamiento base del tráfico de red normal.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Herramientas SIEM:</w:t>
            </w:r>
          </w:p>
          <w:p>
            <w:pPr>
              <w:numPr>
                <w:ilvl w:val="0"/>
                <w:numId w:val="24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Recopilación de datos de registros o eventos anteriores.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Ajuste de Monitoreo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6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Monitoreo de red ajustado para notificar a la herramienta SIEM ante una subida anómala del tráfico de datos.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Respuesta Automática:</w:t>
            </w:r>
          </w:p>
          <w:p>
            <w:pPr>
              <w:numPr>
                <w:ilvl w:val="0"/>
                <w:numId w:val="28"/>
              </w:numPr>
              <w:spacing w:before="0" w:after="0" w:line="36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 herramienta SIEM puede instruir a un firewall o IPS para mitigar la dirección IP sospechosa.</w:t>
            </w:r>
          </w:p>
        </w:tc>
      </w:tr>
      <w:tr>
        <w:trPr>
          <w:trHeight w:val="420" w:hRule="auto"/>
          <w:jc w:val="left"/>
        </w:trPr>
        <w:tc>
          <w:tcPr>
            <w:tcW w:w="20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Recuperar</w:t>
            </w:r>
          </w:p>
        </w:tc>
        <w:tc>
          <w:tcPr>
            <w:tcW w:w="80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Verificación de Sistemas y Datos:</w:t>
            </w:r>
          </w:p>
          <w:p>
            <w:pPr>
              <w:numPr>
                <w:ilvl w:val="0"/>
                <w:numId w:val="31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Asegurarse de que los sistemas y datos no hayan sido afectados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Reactivación de Servicios:</w:t>
            </w:r>
          </w:p>
          <w:p>
            <w:pPr>
              <w:numPr>
                <w:ilvl w:val="0"/>
                <w:numId w:val="33"/>
              </w:numPr>
              <w:spacing w:before="0" w:after="0" w:line="36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Reactivar los servicios no críticos necesarios para el funcionamiento web.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Comunicación con Clientes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35"/>
              </w:numPr>
              <w:spacing w:before="0" w:after="0" w:line="36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Informar a los clientes sobre la restauración del servicio y el funcionamiento normal de la web.</w:t>
            </w:r>
          </w:p>
        </w:tc>
      </w:tr>
    </w:tbl>
    <w:p>
      <w:pPr>
        <w:spacing w:before="0" w:after="200" w:line="360"/>
        <w:ind w:right="-360" w:left="-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-360" w:left="-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080"/>
      </w:tblGrid>
      <w:tr>
        <w:trPr>
          <w:trHeight w:val="1" w:hRule="atLeast"/>
          <w:jc w:val="left"/>
        </w:trPr>
        <w:tc>
          <w:tcPr>
            <w:tcW w:w="10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Reflexiones/Notas:</w:t>
              <w:br/>
              <w:t xml:space="preserve">Las medidas tomadas durante el ataque DDoS permitieron identificar y mitigar la amenaza, restaurar los servicios críticos y proteger la red contra futuros incidentes. La implementación de nuevas reglas de firewall, sistemas IDS/IPS y herramientas SIEM han fortalecido la postura de seguridad de la organización.</w:t>
              <w:br/>
              <w:br/>
              <w:t xml:space="preserve">Acciones Preventivas:</w:t>
              <w:br/>
              <w:t xml:space="preserve">- Realización de auditorías regulares de la configuración de seguridad.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Monitoreo continuo y ajuste de las políticas de seguridad.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 Capacitación continua del personal en prácticas de ciberseguridad.</w:t>
            </w:r>
          </w:p>
        </w:tc>
      </w:tr>
    </w:tbl>
    <w:p>
      <w:pPr>
        <w:spacing w:before="0" w:after="0" w:line="360"/>
        <w:ind w:right="-360" w:left="-36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4">
    <w:abstractNumId w:val="54"/>
  </w:num>
  <w:num w:numId="16">
    <w:abstractNumId w:val="48"/>
  </w:num>
  <w:num w:numId="18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1">
    <w:abstractNumId w:val="12"/>
  </w:num>
  <w:num w:numId="33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