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Comprehensive Pricing Strategy: AI-Powered eLearning Course Builder</w:t>
      </w:r>
    </w:p>
    <w:p>
      <w:pPr>
        <w:pStyle w:val="MdParagraph"/>
      </w:pPr>
      <w:r>
        <w:rPr>
          <w:rStyle w:val="MdStrong"/>
          <w:b/>
          <w:bCs/>
        </w:rPr>
        <w:t xml:space="preserve">Target Markets:</w:t>
      </w:r>
      <w:r>
        <w:t xml:space="preserve"> Corporate Instructional Designers &amp; K-12 Educators
</w:t>
      </w:r>
      <w:r>
        <w:rPr>
          <w:rStyle w:val="MdStrong"/>
          <w:b/>
          <w:bCs/>
        </w:rPr>
        <w:t xml:space="preserve">Author:</w:t>
      </w:r>
      <w:r>
        <w:t xml:space="preserve"> Manus AI
</w:t>
      </w:r>
      <w:r>
        <w:rPr>
          <w:rStyle w:val="MdStrong"/>
          <w:b/>
          <w:bCs/>
        </w:rPr>
        <w:t xml:space="preserve">Date:</w:t>
      </w:r>
      <w:r>
        <w:t xml:space="preserve"> March 21, 2026</w:t>
      </w:r>
    </w:p>
    <w:p>
      <w:pPr>
        <w:pStyle w:val="MdSpace"/>
        <w:spacing w:before="0" w:after="60"/>
      </w:pPr>
    </w:p>
    <w:p>
      <w:pPr>
        <w:pStyle w:val="Heading2"/>
        <w:pStyle w:val="MdHeading2"/>
      </w:pPr>
      <w:r>
        <w:t xml:space="preserve">1. Executive Summary</w:t>
      </w:r>
    </w:p>
    <w:p>
      <w:pPr>
        <w:pStyle w:val="MdParagraph"/>
      </w:pPr>
      <w:r>
        <w:t xml:space="preserve">This document presents an updated, comprehensive pricing strategy for an AI-powered eLearning course builder that serves two distinct markets: corporate instructional designers (IDs) and K-12 educators. The original strategy successfully established a hybrid subscription-plus-credit model designed to abstract the variable costs of AI generation while capturing value from high-volume corporate users. However, expanding into the K-12 market requires a fundamental shift in pricing architecture. </w:t>
      </w:r>
    </w:p>
    <w:p>
      <w:pPr>
        <w:pStyle w:val="MdSpace"/>
        <w:spacing w:before="0" w:after="60"/>
      </w:pPr>
    </w:p>
    <w:p>
      <w:pPr>
        <w:pStyle w:val="MdParagraph"/>
      </w:pPr>
      <w:r>
        <w:t xml:space="preserve">Corporate buyers are accustomed to high per-seat licensing and prioritize ROI, time-saving efficiency, and SCORM compliance. In contrast, the K-12 market is highly price-sensitive, relies heavily on a "freemium" adoption funnel where individual teachers advocate for district-wide purchases, and operates within rigid annual budget cycles [1] [2]. </w:t>
      </w:r>
    </w:p>
    <w:p>
      <w:pPr>
        <w:pStyle w:val="MdSpace"/>
        <w:spacing w:before="0" w:after="60"/>
      </w:pPr>
    </w:p>
    <w:p>
      <w:pPr>
        <w:pStyle w:val="MdParagraph"/>
      </w:pPr>
      <w:r>
        <w:t xml:space="preserve">To successfully capture both markets without cannibalizing revenue, the optimal approach is a </w:t>
      </w:r>
      <w:r>
        <w:rPr>
          <w:rStyle w:val="MdStrong"/>
          <w:b/>
          <w:bCs/>
        </w:rPr>
        <w:t xml:space="preserve">Bifurcated Tiered Subscription Model</w:t>
      </w:r>
      <w:r>
        <w:t xml:space="preserve"> built on a unified credit system. This strategy maintains the high-value corporate tiers from the original plan while introducing an aggressively priced, highly accessible "Education Track" that leverages freemium mechanics to drive district-level enterprise sales.</w:t>
      </w:r>
    </w:p>
    <w:p>
      <w:pPr>
        <w:pStyle w:val="MdSpace"/>
        <w:spacing w:before="0" w:after="60"/>
      </w:pPr>
    </w:p>
    <w:p>
      <w:pPr>
        <w:pStyle w:val="Heading2"/>
        <w:pStyle w:val="MdHeading2"/>
      </w:pPr>
      <w:r>
        <w:t xml:space="preserve">2. Market Dynamics &amp; Pricing Constraints</w:t>
      </w:r>
    </w:p>
    <w:p>
      <w:pPr>
        <w:pStyle w:val="Heading3"/>
        <w:pStyle w:val="MdHeading3"/>
      </w:pPr>
      <w:r>
        <w:t xml:space="preserve">2.1 The Corporate Market Reality</w:t>
      </w:r>
    </w:p>
    <w:p>
      <w:pPr>
        <w:pStyle w:val="MdParagraph"/>
      </w:pPr>
      <w:r>
        <w:t xml:space="preserve">Corporate L&amp;D departments evaluate authoring tools based on speed to deployment and integration with existing Learning Management Systems (LMS). Competitors like Articulate 360 charge approximately $1,400 annually per user, while newer AI entrants like Coursebox charge between $30 and $100 monthly for individual creators [3]. Corporate buyers are willing to pay premium prices for advanced features such as branching scenarios, high-fidelity SCORM exports, and robust analytics. The primary constraint in this market is not budget, but perceived value and enterprise security compliance.</w:t>
      </w:r>
    </w:p>
    <w:p>
      <w:pPr>
        <w:pStyle w:val="MdSpace"/>
        <w:spacing w:before="0" w:after="60"/>
      </w:pPr>
    </w:p>
    <w:p>
      <w:pPr>
        <w:pStyle w:val="Heading3"/>
        <w:pStyle w:val="MdHeading3"/>
      </w:pPr>
      <w:r>
        <w:t xml:space="preserve">2.2 The K-12 Education Market Reality</w:t>
      </w:r>
    </w:p>
    <w:p>
      <w:pPr>
        <w:pStyle w:val="MdParagraph"/>
      </w:pPr>
      <w:r>
        <w:t xml:space="preserve">The K-12 EdTech market operates on entirely different financial mechanics. Individual teachers frequently pay for tools out of their own pockets, with average out-of-pocket spending reaching nearly $900 annually for all classroom supplies [4]. Consequently, the ceiling for an individual teacher subscription is rigidly capped between $8 and $15 per month [5]. Successful platforms like MagicSchool AI and Nearpod utilize a "Forever Free" tier to build a massive user base, monetizing a subset of "Pro" teachers at roughly $10 to $13 monthly, while relying on custom-priced, district-wide enterprise contracts for their primary revenue [6] [7]. Furthermore, K-12 purchasing is highly seasonal and often dependent on state funding or federal grants (such as Title I) [8].</w:t>
      </w:r>
    </w:p>
    <w:p>
      <w:pPr>
        <w:pStyle w:val="MdSpace"/>
        <w:spacing w:before="0" w:after="60"/>
      </w:pPr>
    </w:p>
    <w:p>
      <w:pPr>
        <w:pStyle w:val="Heading2"/>
        <w:pStyle w:val="MdHeading2"/>
      </w:pPr>
      <w:r>
        <w:t xml:space="preserve">3. The Recommended Pricing Architecture</w:t>
      </w:r>
    </w:p>
    <w:p>
      <w:pPr>
        <w:pStyle w:val="MdParagraph"/>
      </w:pPr>
      <w:r>
        <w:t xml:space="preserve">To serve these disparate audiences from a single platform, the pricing page must explicitly route users into two distinct tracks: </w:t>
      </w:r>
      <w:r>
        <w:rPr>
          <w:rStyle w:val="MdStrong"/>
          <w:b/>
          <w:bCs/>
        </w:rPr>
        <w:t xml:space="preserve">Corporate Training</w:t>
      </w:r>
      <w:r>
        <w:t xml:space="preserve"> and </w:t>
      </w:r>
      <w:r>
        <w:rPr>
          <w:rStyle w:val="MdStrong"/>
          <w:b/>
          <w:bCs/>
        </w:rPr>
        <w:t xml:space="preserve">Education (K-12)</w:t>
      </w:r>
      <w:r>
        <w:t xml:space="preserve">. Both tracks operate on the foundational credit system established in the original strategy, but the subscription prices, included features, and credit allotments differ significantly.</w:t>
      </w:r>
    </w:p>
    <w:p>
      <w:pPr>
        <w:pStyle w:val="MdSpace"/>
        <w:spacing w:before="0" w:after="60"/>
      </w:pPr>
    </w:p>
    <w:p>
      <w:pPr>
        <w:pStyle w:val="Heading3"/>
        <w:pStyle w:val="MdHeading3"/>
      </w:pPr>
      <w:r>
        <w:t xml:space="preserve">3.1 The Education (K-12) Track</w:t>
      </w:r>
    </w:p>
    <w:p>
      <w:pPr>
        <w:pStyle w:val="MdParagraph"/>
      </w:pPr>
      <w:r>
        <w:t xml:space="preserve">This track is designed for rapid adoption. It assumes that teachers have virtually zero budget for software but possess immense influence over district purchasing decisions.</w:t>
      </w:r>
    </w:p>
    <w:p>
      <w:pPr>
        <w:pStyle w:val="MdSpace"/>
        <w:spacing w:before="0" w:after="60"/>
      </w:pPr>
    </w:p>
    <w:tbl>
      <w:tblPr>
        <w:tblStyle w:val="MdTable"/>
        <w:tblW w:type="pct" w:w="100%"/>
        <w:tblBorders>
          <w:top w:val="single" w:color="E1E4E8" w:sz="4"/>
          <w:left w:val="none"/>
          <w:bottom w:val="single" w:color="E1E4E8" w:sz="4"/>
          <w:right w:val="none"/>
          <w:insideH w:val="single" w:color="E1E4E8" w:sz="2"/>
          <w:insideV w:val="single" w:color="F6F8FA" w:sz="2"/>
        </w:tblBorders>
      </w:tblPr>
      <w:tblGrid>
        <w:gridCol w:w="100"/>
        <w:gridCol w:w="100"/>
        <w:gridCol w:w="100"/>
        <w:gridCol w:w="100"/>
        <w:gridCol w:w="100"/>
      </w:tblGrid>
      <w:tr>
        <w:trPr>
          <w:cantSplit/>
          <w:tblHeader/>
          <w:trHeight w:val="720" w:hRule="atLeast"/>
        </w:trPr>
        <w:tc>
          <w:tcPr>
            <w:tcBorders>
              <w:left w:val="none"/>
            </w:tcBorders>
            <w:tcMar>
              <w:top w:type="dxa" w:w="100"/>
              <w:left w:type="dxa" w:w="120"/>
              <w:bottom w:type="dxa" w:w="100"/>
              <w:right w:type="dxa" w:w="120"/>
            </w:tcMar>
            <w:vAlign w:val="center"/>
          </w:tcPr>
          <w:p>
            <w:pPr>
              <w:pStyle w:val="MdTableHeader"/>
              <w:jc w:val="left"/>
            </w:pPr>
            <w:r>
              <w:t xml:space="preserve">Tier</w:t>
            </w:r>
          </w:p>
        </w:tc>
        <w:tc>
          <w:tcPr>
            <w:tcMar>
              <w:top w:type="dxa" w:w="100"/>
              <w:left w:type="dxa" w:w="120"/>
              <w:bottom w:type="dxa" w:w="100"/>
              <w:right w:type="dxa" w:w="120"/>
            </w:tcMar>
            <w:vAlign w:val="center"/>
          </w:tcPr>
          <w:p>
            <w:pPr>
              <w:pStyle w:val="MdTableHeader"/>
              <w:jc w:val="left"/>
            </w:pPr>
            <w:r>
              <w:t xml:space="preserve">Monthly Price (Billed Annually)</w:t>
            </w:r>
          </w:p>
        </w:tc>
        <w:tc>
          <w:tcPr>
            <w:tcMar>
              <w:top w:type="dxa" w:w="100"/>
              <w:left w:type="dxa" w:w="120"/>
              <w:bottom w:type="dxa" w:w="100"/>
              <w:right w:type="dxa" w:w="120"/>
            </w:tcMar>
            <w:vAlign w:val="center"/>
          </w:tcPr>
          <w:p>
            <w:pPr>
              <w:pStyle w:val="MdTableHeader"/>
              <w:jc w:val="left"/>
            </w:pPr>
            <w:r>
              <w:t xml:space="preserve">Monthly AI Credits</w:t>
            </w:r>
          </w:p>
        </w:tc>
        <w:tc>
          <w:tcPr>
            <w:tcMar>
              <w:top w:type="dxa" w:w="100"/>
              <w:left w:type="dxa" w:w="120"/>
              <w:bottom w:type="dxa" w:w="100"/>
              <w:right w:type="dxa" w:w="120"/>
            </w:tcMar>
            <w:vAlign w:val="center"/>
          </w:tcPr>
          <w:p>
            <w:pPr>
              <w:pStyle w:val="MdTableHeader"/>
              <w:jc w:val="left"/>
            </w:pPr>
            <w:r>
              <w:t xml:space="preserve">Target Audience</w:t>
            </w:r>
          </w:p>
        </w:tc>
        <w:tc>
          <w:tcPr>
            <w:tcBorders>
              <w:right w:val="none"/>
            </w:tcBorders>
            <w:tcMar>
              <w:top w:type="dxa" w:w="100"/>
              <w:left w:type="dxa" w:w="120"/>
              <w:bottom w:type="dxa" w:w="100"/>
              <w:right w:type="dxa" w:w="120"/>
            </w:tcMar>
            <w:vAlign w:val="center"/>
          </w:tcPr>
          <w:p>
            <w:pPr>
              <w:pStyle w:val="MdTableHeader"/>
              <w:jc w:val="left"/>
            </w:pPr>
            <w:r>
              <w:t xml:space="preserve">Key Features</w:t>
            </w:r>
          </w:p>
        </w:tc>
      </w:tr>
      <w:tr>
        <w:trPr>
          <w:cantSplit/>
          <w:trHeight w:val="576" w:hRule="atLeast"/>
        </w:trPr>
        <w:tc>
          <w:tcPr>
            <w:tcBorders>
              <w:left w:val="none"/>
            </w:tcBorders>
            <w:tcMar>
              <w:top w:type="dxa" w:w="80"/>
              <w:left w:type="dxa" w:w="120"/>
              <w:bottom w:type="dxa" w:w="80"/>
              <w:right w:type="dxa" w:w="120"/>
            </w:tcMar>
            <w:vAlign w:val="center"/>
          </w:tcPr>
          <w:p>
            <w:pPr>
              <w:pStyle w:val="MdTableCell"/>
              <w:jc w:val="left"/>
            </w:pPr>
            <w:r>
              <w:rPr>
                <w:rStyle w:val="MdStrong"/>
                <w:b/>
                <w:bCs/>
              </w:rPr>
              <w:t xml:space="preserve">Teacher Free</w:t>
            </w:r>
          </w:p>
        </w:tc>
        <w:tc>
          <w:tcPr>
            <w:tcMar>
              <w:top w:type="dxa" w:w="80"/>
              <w:left w:type="dxa" w:w="120"/>
              <w:bottom w:type="dxa" w:w="80"/>
              <w:right w:type="dxa" w:w="120"/>
            </w:tcMar>
            <w:vAlign w:val="center"/>
          </w:tcPr>
          <w:p>
            <w:pPr>
              <w:pStyle w:val="MdTableCell"/>
              <w:jc w:val="left"/>
            </w:pPr>
            <w:r>
              <w:t xml:space="preserve">$0</w:t>
            </w:r>
          </w:p>
        </w:tc>
        <w:tc>
          <w:tcPr>
            <w:tcMar>
              <w:top w:type="dxa" w:w="80"/>
              <w:left w:type="dxa" w:w="120"/>
              <w:bottom w:type="dxa" w:w="80"/>
              <w:right w:type="dxa" w:w="120"/>
            </w:tcMar>
            <w:vAlign w:val="center"/>
          </w:tcPr>
          <w:p>
            <w:pPr>
              <w:pStyle w:val="MdTableCell"/>
              <w:jc w:val="left"/>
            </w:pPr>
            <w:r>
              <w:t xml:space="preserve">50</w:t>
            </w:r>
          </w:p>
        </w:tc>
        <w:tc>
          <w:tcPr>
            <w:tcMar>
              <w:top w:type="dxa" w:w="80"/>
              <w:left w:type="dxa" w:w="120"/>
              <w:bottom w:type="dxa" w:w="80"/>
              <w:right w:type="dxa" w:w="120"/>
            </w:tcMar>
            <w:vAlign w:val="center"/>
          </w:tcPr>
          <w:p>
            <w:pPr>
              <w:pStyle w:val="MdTableCell"/>
              <w:jc w:val="left"/>
            </w:pPr>
            <w:r>
              <w:t xml:space="preserve">Individual Teachers (Trial/Light Use)</w:t>
            </w:r>
          </w:p>
        </w:tc>
        <w:tc>
          <w:tcPr>
            <w:tcBorders>
              <w:right w:val="none"/>
            </w:tcBorders>
            <w:tcMar>
              <w:top w:type="dxa" w:w="80"/>
              <w:left w:type="dxa" w:w="120"/>
              <w:bottom w:type="dxa" w:w="80"/>
              <w:right w:type="dxa" w:w="120"/>
            </w:tcMar>
            <w:vAlign w:val="center"/>
          </w:tcPr>
          <w:p>
            <w:pPr>
              <w:pStyle w:val="MdTableCell"/>
              <w:jc w:val="left"/>
            </w:pPr>
            <w:r>
              <w:t xml:space="preserve">Basic AI course generation (Quick Overview &amp; Standard), standard K-12 templates, watermarked exports, community support.</w:t>
            </w:r>
          </w:p>
        </w:tc>
      </w:tr>
      <w:tr>
        <w:trPr>
          <w:cantSplit/>
          <w:trHeight w:val="576" w:hRule="atLeast"/>
        </w:trPr>
        <w:tc>
          <w:tcPr>
            <w:tcBorders>
              <w:left w:val="none"/>
            </w:tcBorders>
            <w:tcMar>
              <w:top w:type="dxa" w:w="80"/>
              <w:left w:type="dxa" w:w="120"/>
              <w:bottom w:type="dxa" w:w="80"/>
              <w:right w:type="dxa" w:w="120"/>
            </w:tcMar>
            <w:vAlign w:val="center"/>
          </w:tcPr>
          <w:p>
            <w:pPr>
              <w:pStyle w:val="MdTableCell"/>
              <w:jc w:val="left"/>
            </w:pPr>
            <w:r>
              <w:rPr>
                <w:rStyle w:val="MdStrong"/>
                <w:b/>
                <w:bCs/>
              </w:rPr>
              <w:t xml:space="preserve">Teacher Pro</w:t>
            </w:r>
          </w:p>
        </w:tc>
        <w:tc>
          <w:tcPr>
            <w:tcMar>
              <w:top w:type="dxa" w:w="80"/>
              <w:left w:type="dxa" w:w="120"/>
              <w:bottom w:type="dxa" w:w="80"/>
              <w:right w:type="dxa" w:w="120"/>
            </w:tcMar>
            <w:vAlign w:val="center"/>
          </w:tcPr>
          <w:p>
            <w:pPr>
              <w:pStyle w:val="MdTableCell"/>
              <w:jc w:val="left"/>
            </w:pPr>
            <w:r>
              <w:t xml:space="preserve">$12 / user</w:t>
            </w:r>
          </w:p>
        </w:tc>
        <w:tc>
          <w:tcPr>
            <w:tcMar>
              <w:top w:type="dxa" w:w="80"/>
              <w:left w:type="dxa" w:w="120"/>
              <w:bottom w:type="dxa" w:w="80"/>
              <w:right w:type="dxa" w:w="120"/>
            </w:tcMar>
            <w:vAlign w:val="center"/>
          </w:tcPr>
          <w:p>
            <w:pPr>
              <w:pStyle w:val="MdTableCell"/>
              <w:jc w:val="left"/>
            </w:pPr>
            <w:r>
              <w:t xml:space="preserve">300</w:t>
            </w:r>
          </w:p>
        </w:tc>
        <w:tc>
          <w:tcPr>
            <w:tcMar>
              <w:top w:type="dxa" w:w="80"/>
              <w:left w:type="dxa" w:w="120"/>
              <w:bottom w:type="dxa" w:w="80"/>
              <w:right w:type="dxa" w:w="120"/>
            </w:tcMar>
            <w:vAlign w:val="center"/>
          </w:tcPr>
          <w:p>
            <w:pPr>
              <w:pStyle w:val="MdTableCell"/>
              <w:jc w:val="left"/>
            </w:pPr>
            <w:r>
              <w:t xml:space="preserve">Power-User Teachers</w:t>
            </w:r>
          </w:p>
        </w:tc>
        <w:tc>
          <w:tcPr>
            <w:tcBorders>
              <w:right w:val="none"/>
            </w:tcBorders>
            <w:tcMar>
              <w:top w:type="dxa" w:w="80"/>
              <w:left w:type="dxa" w:w="120"/>
              <w:bottom w:type="dxa" w:w="80"/>
              <w:right w:type="dxa" w:w="120"/>
            </w:tcMar>
            <w:vAlign w:val="center"/>
          </w:tcPr>
          <w:p>
            <w:pPr>
              <w:pStyle w:val="MdTableCell"/>
              <w:jc w:val="left"/>
            </w:pPr>
            <w:r>
              <w:t xml:space="preserve">Full AI generation (including Comprehensive Units), advanced game templates (Escape Room, Jeopardy), no watermarks, LMS integration (Canvas/Google Classroom).</w:t>
            </w:r>
          </w:p>
        </w:tc>
      </w:tr>
      <w:tr>
        <w:trPr>
          <w:cantSplit/>
          <w:trHeight w:val="576" w:hRule="atLeast"/>
        </w:trPr>
        <w:tc>
          <w:tcPr>
            <w:tcBorders>
              <w:left w:val="none"/>
              <w:bottom w:val="single" w:color="E1E4E8" w:sz="4"/>
            </w:tcBorders>
            <w:tcMar>
              <w:top w:type="dxa" w:w="80"/>
              <w:left w:type="dxa" w:w="120"/>
              <w:bottom w:type="dxa" w:w="80"/>
              <w:right w:type="dxa" w:w="120"/>
            </w:tcMar>
            <w:vAlign w:val="center"/>
          </w:tcPr>
          <w:p>
            <w:pPr>
              <w:pStyle w:val="MdTableCell"/>
              <w:jc w:val="left"/>
            </w:pPr>
            <w:r>
              <w:rPr>
                <w:rStyle w:val="MdStrong"/>
                <w:b/>
                <w:bCs/>
              </w:rPr>
              <w:t xml:space="preserve">School / District</w:t>
            </w:r>
          </w:p>
        </w:tc>
        <w:tc>
          <w:tcPr>
            <w:tcBorders>
              <w:bottom w:val="single" w:color="E1E4E8" w:sz="4"/>
            </w:tcBorders>
            <w:tcMar>
              <w:top w:type="dxa" w:w="80"/>
              <w:left w:type="dxa" w:w="120"/>
              <w:bottom w:type="dxa" w:w="80"/>
              <w:right w:type="dxa" w:w="120"/>
            </w:tcMar>
            <w:vAlign w:val="center"/>
          </w:tcPr>
          <w:p>
            <w:pPr>
              <w:pStyle w:val="MdTableCell"/>
              <w:jc w:val="left"/>
            </w:pPr>
            <w:r>
              <w:t xml:space="preserve">Custom (Per Student or Per Site)</w:t>
            </w:r>
          </w:p>
        </w:tc>
        <w:tc>
          <w:tcPr>
            <w:tcBorders>
              <w:bottom w:val="single" w:color="E1E4E8" w:sz="4"/>
            </w:tcBorders>
            <w:tcMar>
              <w:top w:type="dxa" w:w="80"/>
              <w:left w:type="dxa" w:w="120"/>
              <w:bottom w:type="dxa" w:w="80"/>
              <w:right w:type="dxa" w:w="120"/>
            </w:tcMar>
            <w:vAlign w:val="center"/>
          </w:tcPr>
          <w:p>
            <w:pPr>
              <w:pStyle w:val="MdTableCell"/>
              <w:jc w:val="left"/>
            </w:pPr>
            <w:r>
              <w:t xml:space="preserve">Pooled / Custom</w:t>
            </w:r>
          </w:p>
        </w:tc>
        <w:tc>
          <w:tcPr>
            <w:tcBorders>
              <w:bottom w:val="single" w:color="E1E4E8" w:sz="4"/>
            </w:tcBorders>
            <w:tcMar>
              <w:top w:type="dxa" w:w="80"/>
              <w:left w:type="dxa" w:w="120"/>
              <w:bottom w:type="dxa" w:w="80"/>
              <w:right w:type="dxa" w:w="120"/>
            </w:tcMar>
            <w:vAlign w:val="center"/>
          </w:tcPr>
          <w:p>
            <w:pPr>
              <w:pStyle w:val="MdTableCell"/>
              <w:jc w:val="left"/>
            </w:pPr>
            <w:r>
              <w:t xml:space="preserve">School Administrators &amp; District IT</w:t>
            </w:r>
          </w:p>
        </w:tc>
        <w:tc>
          <w:tcPr>
            <w:tcBorders>
              <w:bottom w:val="single" w:color="E1E4E8" w:sz="4"/>
              <w:right w:val="none"/>
            </w:tcBorders>
            <w:tcMar>
              <w:top w:type="dxa" w:w="80"/>
              <w:left w:type="dxa" w:w="120"/>
              <w:bottom w:type="dxa" w:w="80"/>
              <w:right w:type="dxa" w:w="120"/>
            </w:tcMar>
            <w:vAlign w:val="center"/>
          </w:tcPr>
          <w:p>
            <w:pPr>
              <w:pStyle w:val="MdTableCell"/>
              <w:jc w:val="left"/>
            </w:pPr>
            <w:r>
              <w:t xml:space="preserve">SSO/Rostering (Clever, ClassLink), admin dashboards, shared curriculum libraries, custom data privacy agreements (FERPA/COPPA compliant), dedicated success manager.</w:t>
            </w:r>
          </w:p>
        </w:tc>
      </w:tr>
    </w:tbl>
    <w:p>
      <w:pPr>
        <w:pStyle w:val="MdParagraph"/>
      </w:pPr>
      <w:r>
        <w:rPr>
          <w:rStyle w:val="MdStrong"/>
          <w:b/>
          <w:bCs/>
        </w:rPr>
        <w:t xml:space="preserve">Strategic Rationale for K-12:</w:t>
      </w:r>
      <w:r>
        <w:t xml:space="preserve"> The $12/month price point for Teacher Pro aligns perfectly with the established ceiling for teacher out-of-pocket spending, mirroring successful tools like MagicSchool AI [6]. The generous 300 credits allow a teacher to generate several comprehensive units per month. The true revenue engine is the School/District tier, which should be priced dynamically based on student enrollment (typically $2 to $5 per student annually) rather than per-teacher licensing, as this aligns with how districts calculate funding [1].</w:t>
      </w:r>
    </w:p>
    <w:p>
      <w:pPr>
        <w:pStyle w:val="MdSpace"/>
        <w:spacing w:before="0" w:after="60"/>
      </w:pPr>
    </w:p>
    <w:p>
      <w:pPr>
        <w:pStyle w:val="Heading3"/>
        <w:pStyle w:val="MdHeading3"/>
      </w:pPr>
      <w:r>
        <w:t xml:space="preserve">3.2 The Corporate Training Track</w:t>
      </w:r>
    </w:p>
    <w:p>
      <w:pPr>
        <w:pStyle w:val="MdParagraph"/>
      </w:pPr>
      <w:r>
        <w:t xml:space="preserve">This track retains the structure of the original pricing strategy, designed to maximize revenue from professional instructional designers and corporate L&amp;D teams who require high-volume generation and advanced SCORM capabilities.</w:t>
      </w:r>
    </w:p>
    <w:p>
      <w:pPr>
        <w:pStyle w:val="MdSpace"/>
        <w:spacing w:before="0" w:after="60"/>
      </w:pPr>
    </w:p>
    <w:tbl>
      <w:tblPr>
        <w:tblStyle w:val="MdTable"/>
        <w:tblW w:type="pct" w:w="100%"/>
        <w:tblBorders>
          <w:top w:val="single" w:color="E1E4E8" w:sz="4"/>
          <w:left w:val="none"/>
          <w:bottom w:val="single" w:color="E1E4E8" w:sz="4"/>
          <w:right w:val="none"/>
          <w:insideH w:val="single" w:color="E1E4E8" w:sz="2"/>
          <w:insideV w:val="single" w:color="F6F8FA" w:sz="2"/>
        </w:tblBorders>
      </w:tblPr>
      <w:tblGrid>
        <w:gridCol w:w="100"/>
        <w:gridCol w:w="100"/>
        <w:gridCol w:w="100"/>
        <w:gridCol w:w="100"/>
        <w:gridCol w:w="100"/>
      </w:tblGrid>
      <w:tr>
        <w:trPr>
          <w:cantSplit/>
          <w:tblHeader/>
          <w:trHeight w:val="720" w:hRule="atLeast"/>
        </w:trPr>
        <w:tc>
          <w:tcPr>
            <w:tcBorders>
              <w:left w:val="none"/>
            </w:tcBorders>
            <w:tcMar>
              <w:top w:type="dxa" w:w="100"/>
              <w:left w:type="dxa" w:w="120"/>
              <w:bottom w:type="dxa" w:w="100"/>
              <w:right w:type="dxa" w:w="120"/>
            </w:tcMar>
            <w:vAlign w:val="center"/>
          </w:tcPr>
          <w:p>
            <w:pPr>
              <w:pStyle w:val="MdTableHeader"/>
              <w:jc w:val="left"/>
            </w:pPr>
            <w:r>
              <w:t xml:space="preserve">Tier</w:t>
            </w:r>
          </w:p>
        </w:tc>
        <w:tc>
          <w:tcPr>
            <w:tcMar>
              <w:top w:type="dxa" w:w="100"/>
              <w:left w:type="dxa" w:w="120"/>
              <w:bottom w:type="dxa" w:w="100"/>
              <w:right w:type="dxa" w:w="120"/>
            </w:tcMar>
            <w:vAlign w:val="center"/>
          </w:tcPr>
          <w:p>
            <w:pPr>
              <w:pStyle w:val="MdTableHeader"/>
              <w:jc w:val="left"/>
            </w:pPr>
            <w:r>
              <w:t xml:space="preserve">Monthly Price (Billed Annually)</w:t>
            </w:r>
          </w:p>
        </w:tc>
        <w:tc>
          <w:tcPr>
            <w:tcMar>
              <w:top w:type="dxa" w:w="100"/>
              <w:left w:type="dxa" w:w="120"/>
              <w:bottom w:type="dxa" w:w="100"/>
              <w:right w:type="dxa" w:w="120"/>
            </w:tcMar>
            <w:vAlign w:val="center"/>
          </w:tcPr>
          <w:p>
            <w:pPr>
              <w:pStyle w:val="MdTableHeader"/>
              <w:jc w:val="left"/>
            </w:pPr>
            <w:r>
              <w:t xml:space="preserve">Monthly AI Credits</w:t>
            </w:r>
          </w:p>
        </w:tc>
        <w:tc>
          <w:tcPr>
            <w:tcMar>
              <w:top w:type="dxa" w:w="100"/>
              <w:left w:type="dxa" w:w="120"/>
              <w:bottom w:type="dxa" w:w="100"/>
              <w:right w:type="dxa" w:w="120"/>
            </w:tcMar>
            <w:vAlign w:val="center"/>
          </w:tcPr>
          <w:p>
            <w:pPr>
              <w:pStyle w:val="MdTableHeader"/>
              <w:jc w:val="left"/>
            </w:pPr>
            <w:r>
              <w:t xml:space="preserve">Target Audience</w:t>
            </w:r>
          </w:p>
        </w:tc>
        <w:tc>
          <w:tcPr>
            <w:tcBorders>
              <w:right w:val="none"/>
            </w:tcBorders>
            <w:tcMar>
              <w:top w:type="dxa" w:w="100"/>
              <w:left w:type="dxa" w:w="120"/>
              <w:bottom w:type="dxa" w:w="100"/>
              <w:right w:type="dxa" w:w="120"/>
            </w:tcMar>
            <w:vAlign w:val="center"/>
          </w:tcPr>
          <w:p>
            <w:pPr>
              <w:pStyle w:val="MdTableHeader"/>
              <w:jc w:val="left"/>
            </w:pPr>
            <w:r>
              <w:t xml:space="preserve">Key Features</w:t>
            </w:r>
          </w:p>
        </w:tc>
      </w:tr>
      <w:tr>
        <w:trPr>
          <w:cantSplit/>
          <w:trHeight w:val="576" w:hRule="atLeast"/>
        </w:trPr>
        <w:tc>
          <w:tcPr>
            <w:tcBorders>
              <w:left w:val="none"/>
            </w:tcBorders>
            <w:tcMar>
              <w:top w:type="dxa" w:w="80"/>
              <w:left w:type="dxa" w:w="120"/>
              <w:bottom w:type="dxa" w:w="80"/>
              <w:right w:type="dxa" w:w="120"/>
            </w:tcMar>
            <w:vAlign w:val="center"/>
          </w:tcPr>
          <w:p>
            <w:pPr>
              <w:pStyle w:val="MdTableCell"/>
              <w:jc w:val="left"/>
            </w:pPr>
            <w:r>
              <w:rPr>
                <w:rStyle w:val="MdStrong"/>
                <w:b/>
                <w:bCs/>
              </w:rPr>
              <w:t xml:space="preserve">Pro Creator</w:t>
            </w:r>
          </w:p>
        </w:tc>
        <w:tc>
          <w:tcPr>
            <w:tcMar>
              <w:top w:type="dxa" w:w="80"/>
              <w:left w:type="dxa" w:w="120"/>
              <w:bottom w:type="dxa" w:w="80"/>
              <w:right w:type="dxa" w:w="120"/>
            </w:tcMar>
            <w:vAlign w:val="center"/>
          </w:tcPr>
          <w:p>
            <w:pPr>
              <w:pStyle w:val="MdTableCell"/>
              <w:jc w:val="left"/>
            </w:pPr>
            <w:r>
              <w:t xml:space="preserve">$79 / user</w:t>
            </w:r>
          </w:p>
        </w:tc>
        <w:tc>
          <w:tcPr>
            <w:tcMar>
              <w:top w:type="dxa" w:w="80"/>
              <w:left w:type="dxa" w:w="120"/>
              <w:bottom w:type="dxa" w:w="80"/>
              <w:right w:type="dxa" w:w="120"/>
            </w:tcMar>
            <w:vAlign w:val="center"/>
          </w:tcPr>
          <w:p>
            <w:pPr>
              <w:pStyle w:val="MdTableCell"/>
              <w:jc w:val="left"/>
            </w:pPr>
            <w:r>
              <w:t xml:space="preserve">500</w:t>
            </w:r>
          </w:p>
        </w:tc>
        <w:tc>
          <w:tcPr>
            <w:tcMar>
              <w:top w:type="dxa" w:w="80"/>
              <w:left w:type="dxa" w:w="120"/>
              <w:bottom w:type="dxa" w:w="80"/>
              <w:right w:type="dxa" w:w="120"/>
            </w:tcMar>
            <w:vAlign w:val="center"/>
          </w:tcPr>
          <w:p>
            <w:pPr>
              <w:pStyle w:val="MdTableCell"/>
              <w:jc w:val="left"/>
            </w:pPr>
            <w:r>
              <w:t xml:space="preserve">Freelance IDs &amp; Subject Matter Experts</w:t>
            </w:r>
          </w:p>
        </w:tc>
        <w:tc>
          <w:tcPr>
            <w:tcBorders>
              <w:right w:val="none"/>
            </w:tcBorders>
            <w:tcMar>
              <w:top w:type="dxa" w:w="80"/>
              <w:left w:type="dxa" w:w="120"/>
              <w:bottom w:type="dxa" w:w="80"/>
              <w:right w:type="dxa" w:w="120"/>
            </w:tcMar>
            <w:vAlign w:val="center"/>
          </w:tcPr>
          <w:p>
            <w:pPr>
              <w:pStyle w:val="MdTableCell"/>
              <w:jc w:val="left"/>
            </w:pPr>
            <w:r>
              <w:t xml:space="preserve">Full AI generation, all interactive templates, SCORM 1.2/2004 exports, premium support.</w:t>
            </w:r>
          </w:p>
        </w:tc>
      </w:tr>
      <w:tr>
        <w:trPr>
          <w:cantSplit/>
          <w:trHeight w:val="576" w:hRule="atLeast"/>
        </w:trPr>
        <w:tc>
          <w:tcPr>
            <w:tcBorders>
              <w:left w:val="none"/>
            </w:tcBorders>
            <w:tcMar>
              <w:top w:type="dxa" w:w="80"/>
              <w:left w:type="dxa" w:w="120"/>
              <w:bottom w:type="dxa" w:w="80"/>
              <w:right w:type="dxa" w:w="120"/>
            </w:tcMar>
            <w:vAlign w:val="center"/>
          </w:tcPr>
          <w:p>
            <w:pPr>
              <w:pStyle w:val="MdTableCell"/>
              <w:jc w:val="left"/>
            </w:pPr>
            <w:r>
              <w:rPr>
                <w:rStyle w:val="MdStrong"/>
                <w:b/>
                <w:bCs/>
              </w:rPr>
              <w:t xml:space="preserve">Business Team</w:t>
            </w:r>
          </w:p>
        </w:tc>
        <w:tc>
          <w:tcPr>
            <w:tcMar>
              <w:top w:type="dxa" w:w="80"/>
              <w:left w:type="dxa" w:w="120"/>
              <w:bottom w:type="dxa" w:w="80"/>
              <w:right w:type="dxa" w:w="120"/>
            </w:tcMar>
            <w:vAlign w:val="center"/>
          </w:tcPr>
          <w:p>
            <w:pPr>
              <w:pStyle w:val="MdTableCell"/>
              <w:jc w:val="left"/>
            </w:pPr>
            <w:r>
              <w:t xml:space="preserve">$149 / user</w:t>
            </w:r>
          </w:p>
        </w:tc>
        <w:tc>
          <w:tcPr>
            <w:tcMar>
              <w:top w:type="dxa" w:w="80"/>
              <w:left w:type="dxa" w:w="120"/>
              <w:bottom w:type="dxa" w:w="80"/>
              <w:right w:type="dxa" w:w="120"/>
            </w:tcMar>
            <w:vAlign w:val="center"/>
          </w:tcPr>
          <w:p>
            <w:pPr>
              <w:pStyle w:val="MdTableCell"/>
              <w:jc w:val="left"/>
            </w:pPr>
            <w:r>
              <w:t xml:space="preserve">1,500 (Pooled)</w:t>
            </w:r>
          </w:p>
        </w:tc>
        <w:tc>
          <w:tcPr>
            <w:tcMar>
              <w:top w:type="dxa" w:w="80"/>
              <w:left w:type="dxa" w:w="120"/>
              <w:bottom w:type="dxa" w:w="80"/>
              <w:right w:type="dxa" w:w="120"/>
            </w:tcMar>
            <w:vAlign w:val="center"/>
          </w:tcPr>
          <w:p>
            <w:pPr>
              <w:pStyle w:val="MdTableCell"/>
              <w:jc w:val="left"/>
            </w:pPr>
            <w:r>
              <w:t xml:space="preserve">Corporate L&amp;D Teams (3+ users)</w:t>
            </w:r>
          </w:p>
        </w:tc>
        <w:tc>
          <w:tcPr>
            <w:tcBorders>
              <w:right w:val="none"/>
            </w:tcBorders>
            <w:tcMar>
              <w:top w:type="dxa" w:w="80"/>
              <w:left w:type="dxa" w:w="120"/>
              <w:bottom w:type="dxa" w:w="80"/>
              <w:right w:type="dxa" w:w="120"/>
            </w:tcMar>
            <w:vAlign w:val="center"/>
          </w:tcPr>
          <w:p>
            <w:pPr>
              <w:pStyle w:val="MdTableCell"/>
              <w:jc w:val="left"/>
            </w:pPr>
            <w:r>
              <w:t xml:space="preserve">Team collaboration, shared asset libraries, brand kit management, advanced analytics, priority support.</w:t>
            </w:r>
          </w:p>
        </w:tc>
      </w:tr>
      <w:tr>
        <w:trPr>
          <w:cantSplit/>
          <w:trHeight w:val="576" w:hRule="atLeast"/>
        </w:trPr>
        <w:tc>
          <w:tcPr>
            <w:tcBorders>
              <w:left w:val="none"/>
              <w:bottom w:val="single" w:color="E1E4E8" w:sz="4"/>
            </w:tcBorders>
            <w:tcMar>
              <w:top w:type="dxa" w:w="80"/>
              <w:left w:type="dxa" w:w="120"/>
              <w:bottom w:type="dxa" w:w="80"/>
              <w:right w:type="dxa" w:w="120"/>
            </w:tcMar>
            <w:vAlign w:val="center"/>
          </w:tcPr>
          <w:p>
            <w:pPr>
              <w:pStyle w:val="MdTableCell"/>
              <w:jc w:val="left"/>
            </w:pPr>
            <w:r>
              <w:rPr>
                <w:rStyle w:val="MdStrong"/>
                <w:b/>
                <w:bCs/>
              </w:rPr>
              <w:t xml:space="preserve">Enterprise</w:t>
            </w:r>
          </w:p>
        </w:tc>
        <w:tc>
          <w:tcPr>
            <w:tcBorders>
              <w:bottom w:val="single" w:color="E1E4E8" w:sz="4"/>
            </w:tcBorders>
            <w:tcMar>
              <w:top w:type="dxa" w:w="80"/>
              <w:left w:type="dxa" w:w="120"/>
              <w:bottom w:type="dxa" w:w="80"/>
              <w:right w:type="dxa" w:w="120"/>
            </w:tcMar>
            <w:vAlign w:val="center"/>
          </w:tcPr>
          <w:p>
            <w:pPr>
              <w:pStyle w:val="MdTableCell"/>
              <w:jc w:val="left"/>
            </w:pPr>
            <w:r>
              <w:t xml:space="preserve">Custom</w:t>
            </w:r>
          </w:p>
        </w:tc>
        <w:tc>
          <w:tcPr>
            <w:tcBorders>
              <w:bottom w:val="single" w:color="E1E4E8" w:sz="4"/>
            </w:tcBorders>
            <w:tcMar>
              <w:top w:type="dxa" w:w="80"/>
              <w:left w:type="dxa" w:w="120"/>
              <w:bottom w:type="dxa" w:w="80"/>
              <w:right w:type="dxa" w:w="120"/>
            </w:tcMar>
            <w:vAlign w:val="center"/>
          </w:tcPr>
          <w:p>
            <w:pPr>
              <w:pStyle w:val="MdTableCell"/>
              <w:jc w:val="left"/>
            </w:pPr>
            <w:r>
              <w:t xml:space="preserve">Custom</w:t>
            </w:r>
          </w:p>
        </w:tc>
        <w:tc>
          <w:tcPr>
            <w:tcBorders>
              <w:bottom w:val="single" w:color="E1E4E8" w:sz="4"/>
            </w:tcBorders>
            <w:tcMar>
              <w:top w:type="dxa" w:w="80"/>
              <w:left w:type="dxa" w:w="120"/>
              <w:bottom w:type="dxa" w:w="80"/>
              <w:right w:type="dxa" w:w="120"/>
            </w:tcMar>
            <w:vAlign w:val="center"/>
          </w:tcPr>
          <w:p>
            <w:pPr>
              <w:pStyle w:val="MdTableCell"/>
              <w:jc w:val="left"/>
            </w:pPr>
            <w:r>
              <w:t xml:space="preserve">Large Corporations</w:t>
            </w:r>
          </w:p>
        </w:tc>
        <w:tc>
          <w:tcPr>
            <w:tcBorders>
              <w:bottom w:val="single" w:color="E1E4E8" w:sz="4"/>
              <w:right w:val="none"/>
            </w:tcBorders>
            <w:tcMar>
              <w:top w:type="dxa" w:w="80"/>
              <w:left w:type="dxa" w:w="120"/>
              <w:bottom w:type="dxa" w:w="80"/>
              <w:right w:type="dxa" w:w="120"/>
            </w:tcMar>
            <w:vAlign w:val="center"/>
          </w:tcPr>
          <w:p>
            <w:pPr>
              <w:pStyle w:val="MdTableCell"/>
              <w:jc w:val="left"/>
            </w:pPr>
            <w:r>
              <w:t xml:space="preserve">Custom AI model training, advanced security (SOC2), API access, dedicated account manager.</w:t>
            </w:r>
          </w:p>
        </w:tc>
      </w:tr>
    </w:tbl>
    <w:p>
      <w:pPr>
        <w:pStyle w:val="MdParagraph"/>
      </w:pPr>
      <w:r>
        <w:rPr>
          <w:rStyle w:val="MdStrong"/>
          <w:b/>
          <w:bCs/>
        </w:rPr>
        <w:t xml:space="preserve">Strategic Rationale for Corporate:</w:t>
      </w:r>
      <w:r>
        <w:t xml:space="preserve"> The $79/month starting price positions the tool as a premium, high-ROI investment that remains significantly cheaper than legacy tools like Articulate 360. The credit allotments are higher here because corporate courses (especially "Comprehensive Courses" using ABCD objectives and complex branching) consume significantly more AI tokens than K-12 lessons.</w:t>
      </w:r>
    </w:p>
    <w:p>
      <w:pPr>
        <w:pStyle w:val="MdSpace"/>
        <w:spacing w:before="0" w:after="60"/>
      </w:pPr>
    </w:p>
    <w:p>
      <w:pPr>
        <w:pStyle w:val="Heading2"/>
        <w:pStyle w:val="MdHeading2"/>
      </w:pPr>
      <w:r>
        <w:t xml:space="preserve">4. The Unified Credit System &amp; Cost Management</w:t>
      </w:r>
    </w:p>
    <w:p>
      <w:pPr>
        <w:pStyle w:val="MdParagraph"/>
      </w:pPr>
      <w:r>
        <w:t xml:space="preserve">The core mechanism for managing the variable costs of Large Language Models (LLMs) remains the credit system. By abstracting API token costs into "credits," the platform ensures profitability regardless of how users interact with the AI.</w:t>
      </w:r>
    </w:p>
    <w:p>
      <w:pPr>
        <w:pStyle w:val="MdSpace"/>
        <w:spacing w:before="0" w:after="60"/>
      </w:pPr>
    </w:p>
    <w:p>
      <w:pPr>
        <w:pStyle w:val="Heading3"/>
        <w:pStyle w:val="MdHeading3"/>
      </w:pPr>
      <w:r>
        <w:t xml:space="preserve">4.1 Credit Consumption Rates</w:t>
      </w:r>
    </w:p>
    <w:p>
      <w:pPr>
        <w:pStyle w:val="MdParagraph"/>
      </w:pPr>
      <w:r>
        <w:t xml:space="preserve">The cost of generation must scale with the complexity of the output. The K-12 specific features (such as generating "I Can" statements or modifying reading levels) require distinct credit mapping.</w:t>
      </w:r>
    </w:p>
    <w:p>
      <w:pPr>
        <w:pStyle w:val="MdSpace"/>
        <w:spacing w:before="0" w:after="60"/>
      </w:pPr>
    </w:p>
    <w:tbl>
      <w:tblPr>
        <w:tblStyle w:val="MdTable"/>
        <w:tblW w:type="pct" w:w="100%"/>
        <w:tblBorders>
          <w:top w:val="single" w:color="E1E4E8" w:sz="4"/>
          <w:left w:val="none"/>
          <w:bottom w:val="single" w:color="E1E4E8" w:sz="4"/>
          <w:right w:val="none"/>
          <w:insideH w:val="single" w:color="E1E4E8" w:sz="2"/>
          <w:insideV w:val="single" w:color="F6F8FA" w:sz="2"/>
        </w:tblBorders>
      </w:tblPr>
      <w:tblGrid>
        <w:gridCol w:w="100"/>
        <w:gridCol w:w="100"/>
        <w:gridCol w:w="100"/>
      </w:tblGrid>
      <w:tr>
        <w:trPr>
          <w:cantSplit/>
          <w:tblHeader/>
          <w:trHeight w:val="720" w:hRule="atLeast"/>
        </w:trPr>
        <w:tc>
          <w:tcPr>
            <w:tcBorders>
              <w:left w:val="none"/>
            </w:tcBorders>
            <w:tcMar>
              <w:top w:type="dxa" w:w="100"/>
              <w:left w:type="dxa" w:w="120"/>
              <w:bottom w:type="dxa" w:w="100"/>
              <w:right w:type="dxa" w:w="120"/>
            </w:tcMar>
            <w:vAlign w:val="center"/>
          </w:tcPr>
          <w:p>
            <w:pPr>
              <w:pStyle w:val="MdTableHeader"/>
              <w:jc w:val="left"/>
            </w:pPr>
            <w:r>
              <w:t xml:space="preserve">Action / Feature</w:t>
            </w:r>
          </w:p>
        </w:tc>
        <w:tc>
          <w:tcPr>
            <w:tcMar>
              <w:top w:type="dxa" w:w="100"/>
              <w:left w:type="dxa" w:w="120"/>
              <w:bottom w:type="dxa" w:w="100"/>
              <w:right w:type="dxa" w:w="120"/>
            </w:tcMar>
            <w:vAlign w:val="center"/>
          </w:tcPr>
          <w:p>
            <w:pPr>
              <w:pStyle w:val="MdTableHeader"/>
              <w:jc w:val="left"/>
            </w:pPr>
            <w:r>
              <w:t xml:space="preserve">Credit Cost</w:t>
            </w:r>
          </w:p>
        </w:tc>
        <w:tc>
          <w:tcPr>
            <w:tcBorders>
              <w:right w:val="none"/>
            </w:tcBorders>
            <w:tcMar>
              <w:top w:type="dxa" w:w="100"/>
              <w:left w:type="dxa" w:w="120"/>
              <w:bottom w:type="dxa" w:w="100"/>
              <w:right w:type="dxa" w:w="120"/>
            </w:tcMar>
            <w:vAlign w:val="center"/>
          </w:tcPr>
          <w:p>
            <w:pPr>
              <w:pStyle w:val="MdTableHeader"/>
              <w:jc w:val="left"/>
            </w:pPr>
            <w:r>
              <w:t xml:space="preserve">Justification &amp; Technical Cost</w:t>
            </w:r>
          </w:p>
        </w:tc>
      </w:tr>
      <w:tr>
        <w:trPr>
          <w:cantSplit/>
          <w:trHeight w:val="576" w:hRule="atLeast"/>
        </w:trPr>
        <w:tc>
          <w:tcPr>
            <w:tcBorders>
              <w:left w:val="none"/>
            </w:tcBorders>
            <w:tcMar>
              <w:top w:type="dxa" w:w="80"/>
              <w:left w:type="dxa" w:w="120"/>
              <w:bottom w:type="dxa" w:w="80"/>
              <w:right w:type="dxa" w:w="120"/>
            </w:tcMar>
            <w:vAlign w:val="center"/>
          </w:tcPr>
          <w:p>
            <w:pPr>
              <w:pStyle w:val="MdTableCell"/>
              <w:jc w:val="left"/>
            </w:pPr>
            <w:r>
              <w:rPr>
                <w:rStyle w:val="MdStrong"/>
                <w:b/>
                <w:bCs/>
              </w:rPr>
              <w:t xml:space="preserve">Quick Overview / Mini-Lesson</w:t>
            </w:r>
          </w:p>
        </w:tc>
        <w:tc>
          <w:tcPr>
            <w:tcMar>
              <w:top w:type="dxa" w:w="80"/>
              <w:left w:type="dxa" w:w="120"/>
              <w:bottom w:type="dxa" w:w="80"/>
              <w:right w:type="dxa" w:w="120"/>
            </w:tcMar>
            <w:vAlign w:val="center"/>
          </w:tcPr>
          <w:p>
            <w:pPr>
              <w:pStyle w:val="MdTableCell"/>
              <w:jc w:val="left"/>
            </w:pPr>
            <w:r>
              <w:t xml:space="preserve">20 Credits</w:t>
            </w:r>
          </w:p>
        </w:tc>
        <w:tc>
          <w:tcPr>
            <w:tcBorders>
              <w:right w:val="none"/>
            </w:tcBorders>
            <w:tcMar>
              <w:top w:type="dxa" w:w="80"/>
              <w:left w:type="dxa" w:w="120"/>
              <w:bottom w:type="dxa" w:w="80"/>
              <w:right w:type="dxa" w:w="120"/>
            </w:tcMar>
            <w:vAlign w:val="center"/>
          </w:tcPr>
          <w:p>
            <w:pPr>
              <w:pStyle w:val="MdTableCell"/>
              <w:jc w:val="left"/>
            </w:pPr>
            <w:r>
              <w:t xml:space="preserve">Low complexity; short prompt; minimal slide generation.</w:t>
            </w:r>
          </w:p>
        </w:tc>
      </w:tr>
      <w:tr>
        <w:trPr>
          <w:cantSplit/>
          <w:trHeight w:val="576" w:hRule="atLeast"/>
        </w:trPr>
        <w:tc>
          <w:tcPr>
            <w:tcBorders>
              <w:left w:val="none"/>
            </w:tcBorders>
            <w:tcMar>
              <w:top w:type="dxa" w:w="80"/>
              <w:left w:type="dxa" w:w="120"/>
              <w:bottom w:type="dxa" w:w="80"/>
              <w:right w:type="dxa" w:w="120"/>
            </w:tcMar>
            <w:vAlign w:val="center"/>
          </w:tcPr>
          <w:p>
            <w:pPr>
              <w:pStyle w:val="MdTableCell"/>
              <w:jc w:val="left"/>
            </w:pPr>
            <w:r>
              <w:rPr>
                <w:rStyle w:val="MdStrong"/>
                <w:b/>
                <w:bCs/>
              </w:rPr>
              <w:t xml:space="preserve">Standard Training / Lesson</w:t>
            </w:r>
          </w:p>
        </w:tc>
        <w:tc>
          <w:tcPr>
            <w:tcMar>
              <w:top w:type="dxa" w:w="80"/>
              <w:left w:type="dxa" w:w="120"/>
              <w:bottom w:type="dxa" w:w="80"/>
              <w:right w:type="dxa" w:w="120"/>
            </w:tcMar>
            <w:vAlign w:val="center"/>
          </w:tcPr>
          <w:p>
            <w:pPr>
              <w:pStyle w:val="MdTableCell"/>
              <w:jc w:val="left"/>
            </w:pPr>
            <w:r>
              <w:t xml:space="preserve">50 Credits</w:t>
            </w:r>
          </w:p>
        </w:tc>
        <w:tc>
          <w:tcPr>
            <w:tcBorders>
              <w:right w:val="none"/>
            </w:tcBorders>
            <w:tcMar>
              <w:top w:type="dxa" w:w="80"/>
              <w:left w:type="dxa" w:w="120"/>
              <w:bottom w:type="dxa" w:w="80"/>
              <w:right w:type="dxa" w:w="120"/>
            </w:tcMar>
            <w:vAlign w:val="center"/>
          </w:tcPr>
          <w:p>
            <w:pPr>
              <w:pStyle w:val="MdTableCell"/>
              <w:jc w:val="left"/>
            </w:pPr>
            <w:r>
              <w:t xml:space="preserve">Medium complexity; standard objectives; basic interactive elements.</w:t>
            </w:r>
          </w:p>
        </w:tc>
      </w:tr>
      <w:tr>
        <w:trPr>
          <w:cantSplit/>
          <w:trHeight w:val="576" w:hRule="atLeast"/>
        </w:trPr>
        <w:tc>
          <w:tcPr>
            <w:tcBorders>
              <w:left w:val="none"/>
            </w:tcBorders>
            <w:tcMar>
              <w:top w:type="dxa" w:w="80"/>
              <w:left w:type="dxa" w:w="120"/>
              <w:bottom w:type="dxa" w:w="80"/>
              <w:right w:type="dxa" w:w="120"/>
            </w:tcMar>
            <w:vAlign w:val="center"/>
          </w:tcPr>
          <w:p>
            <w:pPr>
              <w:pStyle w:val="MdTableCell"/>
              <w:jc w:val="left"/>
            </w:pPr>
            <w:r>
              <w:rPr>
                <w:rStyle w:val="MdStrong"/>
                <w:b/>
                <w:bCs/>
              </w:rPr>
              <w:t xml:space="preserve">Comprehensive Course / Unit</w:t>
            </w:r>
          </w:p>
        </w:tc>
        <w:tc>
          <w:tcPr>
            <w:tcMar>
              <w:top w:type="dxa" w:w="80"/>
              <w:left w:type="dxa" w:w="120"/>
              <w:bottom w:type="dxa" w:w="80"/>
              <w:right w:type="dxa" w:w="120"/>
            </w:tcMar>
            <w:vAlign w:val="center"/>
          </w:tcPr>
          <w:p>
            <w:pPr>
              <w:pStyle w:val="MdTableCell"/>
              <w:jc w:val="left"/>
            </w:pPr>
            <w:r>
              <w:t xml:space="preserve">100 Credits</w:t>
            </w:r>
          </w:p>
        </w:tc>
        <w:tc>
          <w:tcPr>
            <w:tcBorders>
              <w:right w:val="none"/>
            </w:tcBorders>
            <w:tcMar>
              <w:top w:type="dxa" w:w="80"/>
              <w:left w:type="dxa" w:w="120"/>
              <w:bottom w:type="dxa" w:w="80"/>
              <w:right w:type="dxa" w:w="120"/>
            </w:tcMar>
            <w:vAlign w:val="center"/>
          </w:tcPr>
          <w:p>
            <w:pPr>
              <w:pStyle w:val="MdTableCell"/>
              <w:jc w:val="left"/>
            </w:pPr>
            <w:r>
              <w:t xml:space="preserve">High complexity; deep curriculum alignment; advanced interactions (branching, escape rooms).</w:t>
            </w:r>
          </w:p>
        </w:tc>
      </w:tr>
      <w:tr>
        <w:trPr>
          <w:cantSplit/>
          <w:trHeight w:val="576" w:hRule="atLeast"/>
        </w:trPr>
        <w:tc>
          <w:tcPr>
            <w:tcBorders>
              <w:left w:val="none"/>
            </w:tcBorders>
            <w:tcMar>
              <w:top w:type="dxa" w:w="80"/>
              <w:left w:type="dxa" w:w="120"/>
              <w:bottom w:type="dxa" w:w="80"/>
              <w:right w:type="dxa" w:w="120"/>
            </w:tcMar>
            <w:vAlign w:val="center"/>
          </w:tcPr>
          <w:p>
            <w:pPr>
              <w:pStyle w:val="MdTableCell"/>
              <w:jc w:val="left"/>
            </w:pPr>
            <w:r>
              <w:rPr>
                <w:rStyle w:val="MdStrong"/>
                <w:b/>
                <w:bCs/>
              </w:rPr>
              <w:t xml:space="preserve">File Import (PPT, PDF to Course)</w:t>
            </w:r>
          </w:p>
        </w:tc>
        <w:tc>
          <w:tcPr>
            <w:tcMar>
              <w:top w:type="dxa" w:w="80"/>
              <w:left w:type="dxa" w:w="120"/>
              <w:bottom w:type="dxa" w:w="80"/>
              <w:right w:type="dxa" w:w="120"/>
            </w:tcMar>
            <w:vAlign w:val="center"/>
          </w:tcPr>
          <w:p>
            <w:pPr>
              <w:pStyle w:val="MdTableCell"/>
              <w:jc w:val="left"/>
            </w:pPr>
            <w:r>
              <w:t xml:space="preserve">40 Credits</w:t>
            </w:r>
          </w:p>
        </w:tc>
        <w:tc>
          <w:tcPr>
            <w:tcBorders>
              <w:right w:val="none"/>
            </w:tcBorders>
            <w:tcMar>
              <w:top w:type="dxa" w:w="80"/>
              <w:left w:type="dxa" w:w="120"/>
              <w:bottom w:type="dxa" w:w="80"/>
              <w:right w:type="dxa" w:w="120"/>
            </w:tcMar>
            <w:vAlign w:val="center"/>
          </w:tcPr>
          <w:p>
            <w:pPr>
              <w:pStyle w:val="MdTableCell"/>
              <w:jc w:val="left"/>
            </w:pPr>
            <w:r>
              <w:t xml:space="preserve">Requires OCR/parsing and extensive AI structuring before generation.</w:t>
            </w:r>
          </w:p>
        </w:tc>
      </w:tr>
      <w:tr>
        <w:trPr>
          <w:cantSplit/>
          <w:trHeight w:val="576" w:hRule="atLeast"/>
        </w:trPr>
        <w:tc>
          <w:tcPr>
            <w:tcBorders>
              <w:left w:val="none"/>
            </w:tcBorders>
            <w:tcMar>
              <w:top w:type="dxa" w:w="80"/>
              <w:left w:type="dxa" w:w="120"/>
              <w:bottom w:type="dxa" w:w="80"/>
              <w:right w:type="dxa" w:w="120"/>
            </w:tcMar>
            <w:vAlign w:val="center"/>
          </w:tcPr>
          <w:p>
            <w:pPr>
              <w:pStyle w:val="MdTableCell"/>
              <w:jc w:val="left"/>
            </w:pPr>
            <w:r>
              <w:rPr>
                <w:rStyle w:val="MdStrong"/>
                <w:b/>
                <w:bCs/>
              </w:rPr>
              <w:t xml:space="preserve">Differentiate Reading Level</w:t>
            </w:r>
          </w:p>
        </w:tc>
        <w:tc>
          <w:tcPr>
            <w:tcMar>
              <w:top w:type="dxa" w:w="80"/>
              <w:left w:type="dxa" w:w="120"/>
              <w:bottom w:type="dxa" w:w="80"/>
              <w:right w:type="dxa" w:w="120"/>
            </w:tcMar>
            <w:vAlign w:val="center"/>
          </w:tcPr>
          <w:p>
            <w:pPr>
              <w:pStyle w:val="MdTableCell"/>
              <w:jc w:val="left"/>
            </w:pPr>
            <w:r>
              <w:t xml:space="preserve">15 Credits</w:t>
            </w:r>
          </w:p>
        </w:tc>
        <w:tc>
          <w:tcPr>
            <w:tcBorders>
              <w:right w:val="none"/>
            </w:tcBorders>
            <w:tcMar>
              <w:top w:type="dxa" w:w="80"/>
              <w:left w:type="dxa" w:w="120"/>
              <w:bottom w:type="dxa" w:w="80"/>
              <w:right w:type="dxa" w:w="120"/>
            </w:tcMar>
            <w:vAlign w:val="center"/>
          </w:tcPr>
          <w:p>
            <w:pPr>
              <w:pStyle w:val="MdTableCell"/>
              <w:jc w:val="left"/>
            </w:pPr>
            <w:r>
              <w:t xml:space="preserve">Specific to K-12; requires rewriting existing content for different Lexile levels.</w:t>
            </w:r>
          </w:p>
        </w:tc>
      </w:tr>
      <w:tr>
        <w:trPr>
          <w:cantSplit/>
          <w:trHeight w:val="576" w:hRule="atLeast"/>
        </w:trPr>
        <w:tc>
          <w:tcPr>
            <w:tcBorders>
              <w:left w:val="none"/>
              <w:bottom w:val="single" w:color="E1E4E8" w:sz="4"/>
            </w:tcBorders>
            <w:tcMar>
              <w:top w:type="dxa" w:w="80"/>
              <w:left w:type="dxa" w:w="120"/>
              <w:bottom w:type="dxa" w:w="80"/>
              <w:right w:type="dxa" w:w="120"/>
            </w:tcMar>
            <w:vAlign w:val="center"/>
          </w:tcPr>
          <w:p>
            <w:pPr>
              <w:pStyle w:val="MdTableCell"/>
              <w:jc w:val="left"/>
            </w:pPr>
            <w:r>
              <w:rPr>
                <w:rStyle w:val="MdStrong"/>
                <w:b/>
                <w:bCs/>
              </w:rPr>
              <w:t xml:space="preserve">Generate Game Template</w:t>
            </w:r>
          </w:p>
        </w:tc>
        <w:tc>
          <w:tcPr>
            <w:tcBorders>
              <w:bottom w:val="single" w:color="E1E4E8" w:sz="4"/>
            </w:tcBorders>
            <w:tcMar>
              <w:top w:type="dxa" w:w="80"/>
              <w:left w:type="dxa" w:w="120"/>
              <w:bottom w:type="dxa" w:w="80"/>
              <w:right w:type="dxa" w:w="120"/>
            </w:tcMar>
            <w:vAlign w:val="center"/>
          </w:tcPr>
          <w:p>
            <w:pPr>
              <w:pStyle w:val="MdTableCell"/>
              <w:jc w:val="left"/>
            </w:pPr>
            <w:r>
              <w:t xml:space="preserve">25 Credits</w:t>
            </w:r>
          </w:p>
        </w:tc>
        <w:tc>
          <w:tcPr>
            <w:tcBorders>
              <w:bottom w:val="single" w:color="E1E4E8" w:sz="4"/>
              <w:right w:val="none"/>
            </w:tcBorders>
            <w:tcMar>
              <w:top w:type="dxa" w:w="80"/>
              <w:left w:type="dxa" w:w="120"/>
              <w:bottom w:type="dxa" w:w="80"/>
              <w:right w:type="dxa" w:w="120"/>
            </w:tcMar>
            <w:vAlign w:val="center"/>
          </w:tcPr>
          <w:p>
            <w:pPr>
              <w:pStyle w:val="MdTableCell"/>
              <w:jc w:val="left"/>
            </w:pPr>
            <w:r>
              <w:t xml:space="preserve">Requires specific structured JSON output (e.g., Jeopardy board, Family Feud synonyms).</w:t>
            </w:r>
          </w:p>
        </w:tc>
      </w:tr>
    </w:tbl>
    <w:p>
      <w:pPr>
        <w:pStyle w:val="Heading3"/>
        <w:pStyle w:val="MdHeading3"/>
      </w:pPr>
      <w:r>
        <w:t xml:space="preserve">4.2 Pay-As-You-Go Overages</w:t>
      </w:r>
    </w:p>
    <w:p>
      <w:pPr>
        <w:pStyle w:val="MdParagraph"/>
      </w:pPr>
      <w:r>
        <w:t xml:space="preserve">When users exhaust their monthly subscription credits, they must have a frictionless path to purchase more. This is vital for capturing revenue during peak creation seasons (e.g., back-to-school prep in August, or end-of-year corporate compliance training).</w:t>
      </w:r>
    </w:p>
    <w:p>
      <w:pPr>
        <w:pStyle w:val="MdSpace"/>
        <w:spacing w:before="0" w:after="60"/>
      </w:pPr>
    </w:p>
    <w:p>
      <w:pPr>
        <w:pStyle w:val="MdListItem"/>
        <w:numPr>
          <w:ilvl w:val="0"/>
          <w:numId w:val="2"/>
        </w:numPr>
      </w:pPr>
      <w:r>
        <w:rPr>
          <w:rStyle w:val="MdStrong"/>
          <w:b/>
          <w:bCs/>
        </w:rPr>
        <w:t xml:space="preserve">Standard Credit Pack:</w:t>
      </w:r>
      <w:r>
        <w:t xml:space="preserve"> $25 for 100 credits.</w:t>
      </w:r>
    </w:p>
    <w:p>
      <w:pPr>
        <w:pStyle w:val="MdListItem"/>
        <w:numPr>
          <w:ilvl w:val="0"/>
          <w:numId w:val="2"/>
        </w:numPr>
      </w:pPr>
      <w:r>
        <w:rPr>
          <w:rStyle w:val="MdStrong"/>
          <w:b/>
          <w:bCs/>
        </w:rPr>
        <w:t xml:space="preserve">Volume Discount Pack:</w:t>
      </w:r>
      <w:r>
        <w:t xml:space="preserve"> $100 for 500 credits.</w:t>
      </w:r>
    </w:p>
    <w:p>
      <w:pPr>
        <w:pStyle w:val="MdSpace"/>
        <w:spacing w:before="0" w:after="60"/>
      </w:pPr>
    </w:p>
    <w:p>
      <w:pPr>
        <w:pStyle w:val="MdParagraph"/>
      </w:pPr>
      <w:r>
        <w:t xml:space="preserve">Assuming 1 credit covers approximately 10,000 tokens (input and output) using a model like GPT-4o, a 100-credit Comprehensive Course utilizes roughly 1,000,000 tokens. At estimated API costs of $5/1M input and $15/1M output, the hard cost is approximately $10. Selling those 100 credits for $25 yields a strong 60% gross margin on pure usage, independent of the subscription base fee.</w:t>
      </w:r>
    </w:p>
    <w:p>
      <w:pPr>
        <w:pStyle w:val="MdSpace"/>
        <w:spacing w:before="0" w:after="60"/>
      </w:pPr>
    </w:p>
    <w:p>
      <w:pPr>
        <w:pStyle w:val="Heading2"/>
        <w:pStyle w:val="MdHeading2"/>
      </w:pPr>
      <w:r>
        <w:t xml:space="preserve">5. Strategic Implementation Recommendations</w:t>
      </w:r>
    </w:p>
    <w:p>
      <w:pPr>
        <w:pStyle w:val="MdParagraph"/>
      </w:pPr>
      <w:r>
        <w:t xml:space="preserve">To successfully deploy this bifurcated pricing model, several operational and marketing strategies must be implemented.</w:t>
      </w:r>
    </w:p>
    <w:p>
      <w:pPr>
        <w:pStyle w:val="MdSpace"/>
        <w:spacing w:before="0" w:after="60"/>
      </w:pPr>
    </w:p>
    <w:p>
      <w:pPr>
        <w:pStyle w:val="Heading3"/>
        <w:pStyle w:val="MdHeading3"/>
      </w:pPr>
      <w:r>
        <w:t xml:space="preserve">5.1 Prevent Cross-Market Cannibalization</w:t>
      </w:r>
    </w:p>
    <w:p>
      <w:pPr>
        <w:pStyle w:val="MdParagraph"/>
      </w:pPr>
      <w:r>
        <w:t xml:space="preserve">A significant risk in offering a $12/month Education tier alongside a $79/month Corporate tier is that corporate users will attempt to purchase the cheaper education plan. To mitigate this:</w:t>
      </w:r>
    </w:p>
    <w:p>
      <w:pPr>
        <w:pStyle w:val="MdListItem"/>
        <w:numPr>
          <w:ilvl w:val="0"/>
          <w:numId w:val="2"/>
        </w:numPr>
      </w:pPr>
      <w:r>
        <w:rPr>
          <w:rStyle w:val="MdStrong"/>
          <w:b/>
          <w:bCs/>
        </w:rPr>
        <w:t xml:space="preserve">Verification:</w:t>
      </w:r>
      <w:r>
        <w:t xml:space="preserve"> Require a valid </w:t>
      </w:r>
      <w:r>
        <w:rPr>
          <w:rStyle w:val="MdCode"/>
          <w:u w:val="single"/>
        </w:rPr>
        <w:t xml:space="preserve">.edu</w:t>
      </w:r>
      <w:r>
        <w:t xml:space="preserve"> or </w:t>
      </w:r>
      <w:r>
        <w:rPr>
          <w:rStyle w:val="MdCode"/>
          <w:u w:val="single"/>
        </w:rPr>
        <w:t xml:space="preserve">.k12.state.us</w:t>
      </w:r>
      <w:r>
        <w:t xml:space="preserve"> email address to unlock the Education pricing track.</w:t>
      </w:r>
    </w:p>
    <w:p>
      <w:pPr>
        <w:pStyle w:val="MdListItem"/>
        <w:numPr>
          <w:ilvl w:val="0"/>
          <w:numId w:val="2"/>
        </w:numPr>
      </w:pPr>
      <w:r>
        <w:rPr>
          <w:rStyle w:val="MdStrong"/>
          <w:b/>
          <w:bCs/>
        </w:rPr>
        <w:t xml:space="preserve">Feature Gating:</w:t>
      </w:r>
      <w:r>
        <w:t xml:space="preserve"> Restrict high-value corporate features (such as SCORM 2004 export, corporate brand kits, and specific corporate templates) exclusively to the Corporate track. The Education track should export primarily to LMS formats used in K-12 (Canvas, Schoology, Google Classroom) or standard web formats.</w:t>
      </w:r>
    </w:p>
    <w:p>
      <w:pPr>
        <w:pStyle w:val="MdSpace"/>
        <w:spacing w:before="0" w:after="60"/>
      </w:pPr>
    </w:p>
    <w:p>
      <w:pPr>
        <w:pStyle w:val="Heading3"/>
        <w:pStyle w:val="MdHeading3"/>
      </w:pPr>
      <w:r>
        <w:t xml:space="preserve">5.2 Leverage the K-12 Freemium Funnel</w:t>
      </w:r>
    </w:p>
    <w:p>
      <w:pPr>
        <w:pStyle w:val="MdParagraph"/>
      </w:pPr>
      <w:r>
        <w:t xml:space="preserve">The "Teacher Free" tier is not a loss leader; it is a lead generation engine. The platform must actively track when multiple teachers from the same school domain sign up for free accounts. When usage from a single domain reaches a critical mass (e.g., 5+ active teachers), this triggers an automated sales sequence targeting the school's principal or district IT director to pitch a site license.</w:t>
      </w:r>
    </w:p>
    <w:p>
      <w:pPr>
        <w:pStyle w:val="MdSpace"/>
        <w:spacing w:before="0" w:after="60"/>
      </w:pPr>
    </w:p>
    <w:p>
      <w:pPr>
        <w:pStyle w:val="Heading3"/>
        <w:pStyle w:val="MdHeading3"/>
      </w:pPr>
      <w:r>
        <w:t xml:space="preserve">5.3 Align with Educational Buying Cycles</w:t>
      </w:r>
    </w:p>
    <w:p>
      <w:pPr>
        <w:pStyle w:val="MdParagraph"/>
      </w:pPr>
      <w:r>
        <w:t xml:space="preserve">Corporate purchasing happens year-round, but K-12 purchasing is highly cyclical. Marketing efforts for School/District enterprise plans must peak between March and June, when districts finalize budgets for the upcoming academic year. Furthermore, ensure the platform's marketing materials highlight how the tool can be purchased using federal ESSER (if applicable/remaining) or Title I funds, as this dramatically reduces friction for district buyers [8].</w:t>
      </w:r>
    </w:p>
    <w:p>
      <w:pPr>
        <w:pStyle w:val="MdSpace"/>
        <w:spacing w:before="0" w:after="60"/>
      </w:pPr>
    </w:p>
    <w:p>
      <w:pPr>
        <w:pStyle w:val="Heading2"/>
        <w:pStyle w:val="MdHeading2"/>
      </w:pPr>
      <w:r>
        <w:t xml:space="preserve">6. References</w:t>
      </w:r>
    </w:p>
    <w:p>
      <w:pPr>
        <w:pStyle w:val="MdParagraph"/>
      </w:pPr>
      <w:r>
        <w:t xml:space="preserve">[1] Monetizely. "EdTech Pricing Models: Monetizing Education Technology Effectively." </w:t>
      </w:r>
      <w:hyperlink w:history="1" r:id="rIdtkksxzdxrlnw5xjq7_ngf">
        <w:r>
          <w:rPr>
            <w:rStyle w:val="MdLink"/>
          </w:rPr>
          <w:t xml:space="preserve">https://www.getmonetizely.com/articles/edtech-pricing-models-monetizing-education-technology-effectively</w:t>
        </w:r>
      </w:hyperlink>
      <w:r>
        <w:t xml:space="preserve">[2] EdSurge. "The True Cost of Freemiums in Edtech."</w:t>
      </w:r>
      <w:r>
        <w:br/>
        <w:t xml:space="preserve">[3] Coursebox. "AI Course Creator &amp; LMS Pricing."</w:t>
      </w:r>
      <w:hyperlink w:history="1" r:id="rIdictvzwo1qpaibkgyviweh">
        <w:r>
          <w:rPr>
            <w:rStyle w:val="MdLink"/>
          </w:rPr>
          <w:t xml:space="preserve">https://www.coursebox.ai/pricing</w:t>
        </w:r>
      </w:hyperlink>
      <w:r>
        <w:t xml:space="preserve">
[4] AdoptAClassroom.org. "2025 Teacher Spending Survey." </w:t>
      </w:r>
      <w:hyperlink w:history="1" r:id="rId5hmdt1e6zyun-wdfhqaxa">
        <w:r>
          <w:rPr>
            <w:rStyle w:val="MdLink"/>
          </w:rPr>
          <w:t xml:space="preserve">https://www.adoptaclassroom.org/2025/06/09/2025-teacher-survey-spending-stats-classroom-needs/</w:t>
        </w:r>
      </w:hyperlink>
      <w:r>
        <w:t xml:space="preserve">
[5] Edugenius. "AI Education Tools Under $10/Month — Budget-Friendly Options 2026." </w:t>
      </w:r>
      <w:hyperlink w:history="1" r:id="rIden4ie8sfo-qltgjn-e-2k">
        <w:r>
          <w:rPr>
            <w:rStyle w:val="MdLink"/>
          </w:rPr>
          <w:t xml:space="preserve">https://edugenius.app/blog/ai-education-tools-under-10-month-budget</w:t>
        </w:r>
      </w:hyperlink>
      <w:r>
        <w:t xml:space="preserve">
[6] MagicSchool AI. "MagicSchool Pricing &amp; Plans." </w:t>
      </w:r>
      <w:hyperlink w:history="1" r:id="rId8mm_oinkwlohmrq4etc5s">
        <w:r>
          <w:rPr>
            <w:rStyle w:val="MdLink"/>
          </w:rPr>
          <w:t xml:space="preserve">https://www.magicschool.ai/pricing</w:t>
        </w:r>
      </w:hyperlink>
      <w:r>
        <w:t xml:space="preserve">
[7] Nearpod. "Pricing Plans and Comparison." </w:t>
      </w:r>
      <w:hyperlink w:history="1" r:id="rIdwrwhifirhlt7nrtchf98f">
        <w:r>
          <w:rPr>
            <w:rStyle w:val="MdLink"/>
          </w:rPr>
          <w:t xml:space="preserve">https://nearpod.com/pricing</w:t>
        </w:r>
      </w:hyperlink>
      <w:r>
        <w:t xml:space="preserve">
[8] EdTech Magazine. "K–12 Education Grant Funding Guide for 2026." </w:t>
      </w:r>
      <w:hyperlink w:history="1" r:id="rId664b0ylwgnvsz5zbd50bi">
        <w:r>
          <w:rPr>
            <w:rStyle w:val="MdLink"/>
          </w:rPr>
          <w:t xml:space="preserve">https://edtechmagazine.com/k12/article/2026/03/k-12-education-grant-funding-guide-2026</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440" w:hanging="360"/>
      </w:pPr>
    </w:lvl>
    <w:lvl w:ilvl="2" w15:tentative="1">
      <w:start w:val="1"/>
      <w:numFmt w:val="decimal"/>
      <w:lvlText w:val="%1.%2.%3"/>
      <w:lvlJc w:val="left"/>
      <w:pPr>
        <w:ind w:left="2160" w:hanging="360"/>
      </w:pPr>
    </w:lvl>
    <w:lvl w:ilvl="3" w15:tentative="1">
      <w:start w:val="1"/>
      <w:numFmt w:val="decimal"/>
      <w:lvlText w:val="%4)"/>
      <w:lvlJc w:val="left"/>
      <w:pPr>
        <w:ind w:left="2880" w:hanging="360"/>
      </w:pPr>
    </w:lvl>
    <w:lvl w:ilvl="4" w15:tentative="1">
      <w:start w:val="1"/>
      <w:numFmt w:val="decimal"/>
      <w:lvlText w:val="%5)"/>
      <w:lvlJc w:val="left"/>
      <w:pPr>
        <w:ind w:left="3600" w:hanging="360"/>
      </w:pPr>
    </w:lvl>
    <w:lvl w:ilvl="5" w15:tentative="1">
      <w:start w:val="1"/>
      <w:numFmt w:val="decimal"/>
      <w:lvlText w:val="%6)"/>
      <w:lvlJc w:val="left"/>
      <w:pPr>
        <w:ind w:left="4320" w:hanging="360"/>
      </w:pPr>
    </w:lvl>
    <w:lvl w:ilvl="6" w15:tentative="1">
      <w:start w:val="1"/>
      <w:numFmt w:val="decimal"/>
      <w:lvlText w:val="%7)"/>
      <w:lvlJc w:val="left"/>
      <w:pPr>
        <w:ind w:left="5040" w:hanging="360"/>
      </w:pPr>
    </w:lvl>
    <w:lvl w:ilvl="7" w15:tentative="1">
      <w:start w:val="1"/>
      <w:numFmt w:val="decimal"/>
      <w:lvlText w:val="%8)"/>
      <w:lvlJc w:val="left"/>
      <w:pPr>
        <w:ind w:left="5760" w:hanging="360"/>
      </w:pPr>
    </w:lvl>
    <w:lvl w:ilvl="8" w15:tentative="1">
      <w:start w:val="1"/>
      <w:numFmt w:val="decimal"/>
      <w:lvlText w:val="%9)"/>
      <w:lvlJc w:val="left"/>
      <w:pPr>
        <w:ind w:left="648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color="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MdSpace">
    <w:name w:val="MdSpace"/>
    <w:basedOn w:val="Normal"/>
    <w:next w:val="Normal"/>
    <w:qFormat/>
    <w:pPr>
      <w:spacing w:before="0" w:after="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pacing w:before="200" w:after="200"/>
    </w:pPr>
    <w:rPr>
      <w:rFonts w:ascii="Courier New" w:cs="Courier New" w:eastAsia="Courier New" w:hAnsi="Courier New"/>
      <w:color w:val="70AD47"/>
      <w:sz w:val="22"/>
      <w:szCs w:val="22"/>
    </w:rPr>
  </w:style>
  <w:style w:type="paragraph" w:styleId="MdHr">
    <w:name w:val="MdHr"/>
    <w:basedOn w:val="Normal"/>
    <w:next w:val="Normal"/>
    <w:qFormat/>
    <w:pPr>
      <w:pBdr>
        <w:bottom w:val="single" w:color="A5A5A5" w:sz="1" w:space="1"/>
      </w:pBdr>
      <w:spacing w:before="240" w:after="240"/>
    </w:pPr>
  </w:style>
  <w:style w:type="paragraph" w:styleId="MdBlockquote">
    <w:name w:val="MdBlockquote"/>
    <w:basedOn w:val="Normal"/>
    <w:next w:val="Normal"/>
    <w:qFormat/>
    <w:pPr>
      <w:pBdr>
        <w:left w:val="single" w:color="A5A5A5" w:sz="20" w:space="12"/>
      </w:pBdr>
      <w:spacing w:before="200" w:after="200"/>
      <w:ind w:left="360"/>
    </w:pPr>
    <w:rPr>
      <w:i/>
      <w:iCs/>
      <w:color w:val="666666"/>
    </w:rPr>
  </w:style>
  <w:style w:type="paragraph" w:styleId="MdHtml">
    <w:name w:val="MdHtml"/>
    <w:basedOn w:val="Normal"/>
    <w:next w:val="Normal"/>
    <w:qFormat/>
    <w:rPr>
      <w:rFonts w:ascii="Courier New" w:cs="Courier New" w:eastAsia="Courier New" w:hAnsi="Courier New"/>
      <w:color w:val="ED7D31"/>
    </w:rPr>
  </w:style>
  <w:style w:type="paragraph" w:styleId="MdDef">
    <w:name w:val="MdDef"/>
    <w:basedOn w:val="Normal"/>
    <w:next w:val="Normal"/>
    <w:qFormat/>
    <w:pPr>
      <w:ind w:left="720" w:hanging="360"/>
    </w:pPr>
  </w:style>
  <w:style w:type="paragraph" w:styleId="MdParagraph">
    <w:name w:val="MdParagraph"/>
    <w:basedOn w:val="Normal"/>
    <w:next w:val="Normal"/>
    <w:qFormat/>
    <w:pPr>
      <w:spacing w:before="120" w:after="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before="60" w:after="60"/>
      <w:ind w:left="720" w:hanging="360"/>
    </w:pPr>
  </w:style>
  <w:style w:type="paragraph" w:styleId="MdTable">
    <w:name w:val="MdTable"/>
    <w:basedOn w:val="Normal"/>
    <w:next w:val="Normal"/>
    <w:qFormat/>
    <w:pPr>
      <w:spacing w:before="60" w:after="60"/>
    </w:pPr>
  </w:style>
  <w:style w:type="paragraph" w:styleId="MdTableHeader">
    <w:name w:val="MdTableHeader"/>
    <w:basedOn w:val="Normal"/>
    <w:next w:val="Normal"/>
    <w:qFormat/>
    <w:pPr>
      <w:spacing w:before="60" w:after="60"/>
    </w:pPr>
    <w:rPr>
      <w:b/>
      <w:bCs/>
      <w:sz w:val="22"/>
      <w:szCs w:val="22"/>
    </w:rPr>
  </w:style>
  <w:style w:type="paragraph" w:styleId="MdTableCell">
    <w:name w:val="MdTableCell"/>
    <w:basedOn w:val="Normal"/>
    <w:next w:val="Normal"/>
    <w:qFormat/>
    <w:pPr>
      <w:spacing w:before="40" w:after="40"/>
    </w:pPr>
    <w:rPr>
      <w:sz w:val="20"/>
      <w:szCs w:val="20"/>
    </w:rPr>
  </w:style>
  <w:style w:type="paragraph" w:styleId="MdHeading1">
    <w:name w:val="MdHeading1"/>
    <w:basedOn w:val="Normal"/>
    <w:next w:val="Normal"/>
    <w:qFormat/>
    <w:pPr>
      <w:keepNext/>
      <w:spacing w:before="480" w:after="240"/>
      <w:outlineLvl w:val="0"/>
    </w:pPr>
    <w:rPr>
      <w:b/>
      <w:bCs/>
      <w:sz w:val="36"/>
      <w:szCs w:val="36"/>
    </w:rPr>
  </w:style>
  <w:style w:type="paragraph" w:styleId="MdHeading2">
    <w:name w:val="MdHeading2"/>
    <w:basedOn w:val="Normal"/>
    <w:next w:val="Normal"/>
    <w:qFormat/>
    <w:pPr>
      <w:keepNext/>
      <w:spacing w:before="400" w:after="200"/>
      <w:outlineLvl w:val="1"/>
    </w:pPr>
    <w:rPr>
      <w:b/>
      <w:bCs/>
      <w:sz w:val="32"/>
      <w:szCs w:val="32"/>
    </w:rPr>
  </w:style>
  <w:style w:type="paragraph" w:styleId="MdHeading3">
    <w:name w:val="MdHeading3"/>
    <w:basedOn w:val="Normal"/>
    <w:next w:val="Normal"/>
    <w:qFormat/>
    <w:pPr>
      <w:keepNext/>
      <w:spacing w:before="320" w:after="160"/>
      <w:outlineLvl w:val="2"/>
    </w:pPr>
    <w:rPr>
      <w:b/>
      <w:bCs/>
      <w:sz w:val="28"/>
      <w:szCs w:val="28"/>
    </w:rPr>
  </w:style>
  <w:style w:type="paragraph" w:styleId="MdHeading4">
    <w:name w:val="MdHeading4"/>
    <w:basedOn w:val="Normal"/>
    <w:next w:val="Normal"/>
    <w:qFormat/>
    <w:pPr>
      <w:keepNext/>
      <w:spacing w:before="280" w:after="140"/>
      <w:outlineLvl w:val="3"/>
    </w:pPr>
    <w:rPr>
      <w:b/>
      <w:bCs/>
      <w:sz w:val="26"/>
      <w:szCs w:val="26"/>
    </w:rPr>
  </w:style>
  <w:style w:type="paragraph" w:styleId="MdHeading5">
    <w:name w:val="MdHeading5"/>
    <w:basedOn w:val="Normal"/>
    <w:next w:val="Normal"/>
    <w:qFormat/>
    <w:pPr>
      <w:keepNext/>
      <w:spacing w:before="240" w:after="120"/>
      <w:outlineLvl w:val="4"/>
    </w:pPr>
    <w:rPr>
      <w:b/>
      <w:bCs/>
      <w:i/>
      <w:iCs/>
      <w:sz w:val="24"/>
      <w:szCs w:val="24"/>
    </w:rPr>
  </w:style>
  <w:style w:type="paragraph" w:styleId="MdHeading6">
    <w:name w:val="MdHeading6"/>
    <w:basedOn w:val="Normal"/>
    <w:next w:val="Normal"/>
    <w:qFormat/>
    <w:pPr>
      <w:keepNext/>
      <w:spacing w:before="240" w:after="120"/>
      <w:outlineLvl w:val="5"/>
    </w:pPr>
    <w:rPr>
      <w:b w:val="false"/>
      <w:bCs w:val="false"/>
      <w:i/>
      <w:iCs/>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ksxzdxrlnw5xjq7_ngf" Type="http://schemas.openxmlformats.org/officeDocument/2006/relationships/hyperlink" Target="https://www.getmonetizely.com/articles/edtech-pricing-models-monetizing-education-technology-effectively" TargetMode="External"/><Relationship Id="rIdictvzwo1qpaibkgyviweh" Type="http://schemas.openxmlformats.org/officeDocument/2006/relationships/hyperlink" Target="https://www.coursebox.ai/pricing" TargetMode="External"/><Relationship Id="rId5hmdt1e6zyun-wdfhqaxa" Type="http://schemas.openxmlformats.org/officeDocument/2006/relationships/hyperlink" Target="https://www.adoptaclassroom.org/2025/06/09/2025-teacher-survey-spending-stats-classroom-needs/" TargetMode="External"/><Relationship Id="rIden4ie8sfo-qltgjn-e-2k" Type="http://schemas.openxmlformats.org/officeDocument/2006/relationships/hyperlink" Target="https://edugenius.app/blog/ai-education-tools-under-10-month-budget" TargetMode="External"/><Relationship Id="rId8mm_oinkwlohmrq4etc5s" Type="http://schemas.openxmlformats.org/officeDocument/2006/relationships/hyperlink" Target="https://www.magicschool.ai/pricing" TargetMode="External"/><Relationship Id="rIdwrwhifirhlt7nrtchf98f" Type="http://schemas.openxmlformats.org/officeDocument/2006/relationships/hyperlink" Target="https://nearpod.com/pricing" TargetMode="External"/><Relationship Id="rId664b0ylwgnvsz5zbd50bi" Type="http://schemas.openxmlformats.org/officeDocument/2006/relationships/hyperlink" Target="https://edtechmagazine.com/k12/article/2026/03/k-12-education-grant-funding-guide-2026" TargetMode="External"/><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Document</dc:title>
  <dc:creator>md2docx converter</dc:creator>
  <dc:description>Converted from Markdown</dc:description>
  <cp:lastModifiedBy>Un-named</cp:lastModifiedBy>
  <cp:revision>1</cp:revision>
  <dcterms:created xsi:type="dcterms:W3CDTF">2026-03-21T07:40:12.776Z</dcterms:created>
  <dcterms:modified xsi:type="dcterms:W3CDTF">2026-03-21T07:40:12.776Z</dcterms:modified>
</cp:coreProperties>
</file>

<file path=docProps/custom.xml><?xml version="1.0" encoding="utf-8"?>
<Properties xmlns="http://schemas.openxmlformats.org/officeDocument/2006/custom-properties" xmlns:vt="http://schemas.openxmlformats.org/officeDocument/2006/docPropsVTypes"/>
</file>