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9C24" w14:textId="77777777" w:rsidR="00105DCE" w:rsidRDefault="00000000">
      <w:pPr>
        <w:pStyle w:val="MdHeading1"/>
      </w:pPr>
      <w:r>
        <w:t>Designing eLearning for K-12 vs. Corporate Professionals</w:t>
      </w:r>
    </w:p>
    <w:p w14:paraId="654C1EFE" w14:textId="77777777" w:rsidR="00105DCE" w:rsidRDefault="00000000">
      <w:pPr>
        <w:pStyle w:val="MdParagraph"/>
      </w:pPr>
      <w:r>
        <w:rPr>
          <w:rStyle w:val="MdStrong"/>
        </w:rPr>
        <w:t>A Comprehensive Guide for Platform Development</w:t>
      </w:r>
    </w:p>
    <w:p w14:paraId="344DD150" w14:textId="77777777" w:rsidR="00105DCE" w:rsidRDefault="00105DCE">
      <w:pPr>
        <w:pStyle w:val="MdSpace"/>
        <w:spacing w:after="60"/>
      </w:pPr>
    </w:p>
    <w:p w14:paraId="2863B824" w14:textId="77777777" w:rsidR="00105DCE" w:rsidRDefault="00000000">
      <w:pPr>
        <w:pStyle w:val="MdParagraph"/>
      </w:pPr>
      <w:r>
        <w:t xml:space="preserve">When developing an eLearning platform that serves both corporate instructional designers and K-12 educators, understanding the fundamental differences in their pedagogical approaches is critical. While corporate instructional design (ID) focuses on adult learning principles (andragogy) and business performance, K-12 course design is rooted in child learning principles (pedagogy), cognitive development, and externally mandated educational standards. </w:t>
      </w:r>
    </w:p>
    <w:p w14:paraId="149BFAE6" w14:textId="77777777" w:rsidR="00105DCE" w:rsidRDefault="00105DCE">
      <w:pPr>
        <w:pStyle w:val="MdSpace"/>
        <w:spacing w:after="60"/>
      </w:pPr>
    </w:p>
    <w:p w14:paraId="3EF4F769" w14:textId="77777777" w:rsidR="00105DCE" w:rsidRDefault="00000000">
      <w:pPr>
        <w:pStyle w:val="MdParagraph"/>
      </w:pPr>
      <w:r>
        <w:t>This document outlines how K-12 teachers design and scope their courses, the terminology they use, and the best practices platform developers should consider to support both user bases effectively.</w:t>
      </w:r>
    </w:p>
    <w:p w14:paraId="56C45747" w14:textId="77777777" w:rsidR="00105DCE" w:rsidRDefault="00105DCE">
      <w:pPr>
        <w:pStyle w:val="MdSpace"/>
        <w:spacing w:after="60"/>
      </w:pPr>
    </w:p>
    <w:p w14:paraId="45551A5B" w14:textId="77777777" w:rsidR="00105DCE" w:rsidRDefault="00000000">
      <w:pPr>
        <w:pStyle w:val="MdHeading2"/>
      </w:pPr>
      <w:r>
        <w:t>Fundamental Frameworks: Andragogy vs. Pedagogy</w:t>
      </w:r>
    </w:p>
    <w:p w14:paraId="6CE0ED8C" w14:textId="77777777" w:rsidR="00105DCE" w:rsidRDefault="00000000">
      <w:pPr>
        <w:pStyle w:val="MdParagraph"/>
      </w:pPr>
      <w:r>
        <w:t xml:space="preserve">The most significant divergence between corporate and K-12 eLearning design stems from the learners themselves. Corporate ID relies on </w:t>
      </w:r>
      <w:r>
        <w:rPr>
          <w:rStyle w:val="MdStrong"/>
        </w:rPr>
        <w:t>andragogy</w:t>
      </w:r>
      <w:r>
        <w:t xml:space="preserve"> (the art and science of helping adults learn), while K-12 education relies on </w:t>
      </w:r>
      <w:r>
        <w:rPr>
          <w:rStyle w:val="MdStrong"/>
        </w:rPr>
        <w:t>pedagogy</w:t>
      </w:r>
      <w:r>
        <w:t xml:space="preserve"> (the art and science of helping children learn) [1].</w:t>
      </w:r>
    </w:p>
    <w:p w14:paraId="0C06018F" w14:textId="77777777" w:rsidR="00105DCE" w:rsidRDefault="00105DCE">
      <w:pPr>
        <w:pStyle w:val="MdSpace"/>
        <w:spacing w:after="60"/>
      </w:pPr>
    </w:p>
    <w:p w14:paraId="5D767B6D" w14:textId="77777777" w:rsidR="00105DCE" w:rsidRDefault="00000000">
      <w:pPr>
        <w:pStyle w:val="MdParagraph"/>
      </w:pPr>
      <w:r>
        <w:t xml:space="preserve">Adult learners are typically self-directed, intrinsically motivated by career advancement or problem-solving, and bring a wealth of prior experience that serves as a primary resource for learning [1]. Consequently, corporate eLearning often focuses on immediate application and performance improvement. </w:t>
      </w:r>
    </w:p>
    <w:p w14:paraId="2569F272" w14:textId="77777777" w:rsidR="00105DCE" w:rsidRDefault="00105DCE">
      <w:pPr>
        <w:pStyle w:val="MdSpace"/>
        <w:spacing w:after="60"/>
      </w:pPr>
    </w:p>
    <w:p w14:paraId="6C86BDD4" w14:textId="77777777" w:rsidR="00105DCE" w:rsidRDefault="00000000">
      <w:pPr>
        <w:pStyle w:val="MdParagraph"/>
      </w:pPr>
      <w:r>
        <w:t>In contrast, K-12 students are developing cognitively and require structured, teacher-directed learning environments [1]. Children are generally extrinsically motivated and do not have extensive life experience to draw upon; their learning must be carefully scaffolded from simple to complex concepts [1]. Furthermore, K-12 design must account for significant developmental differences across age groups—a six-year-old interacts with digital content entirely differently than an eleven-year-old, both cognitively and in terms of fine motor skills [2].</w:t>
      </w:r>
    </w:p>
    <w:p w14:paraId="082D539F" w14:textId="77777777" w:rsidR="00105DCE" w:rsidRDefault="00105DCE">
      <w:pPr>
        <w:pStyle w:val="MdSpace"/>
        <w:spacing w:after="60"/>
      </w:pPr>
    </w:p>
    <w:p w14:paraId="4DEDB9ED" w14:textId="77777777" w:rsidR="00105DCE" w:rsidRDefault="00000000">
      <w:pPr>
        <w:pStyle w:val="MdHeading2"/>
      </w:pPr>
      <w:r>
        <w:t>Course Scoping and Structure</w:t>
      </w:r>
    </w:p>
    <w:p w14:paraId="340297A9" w14:textId="77777777" w:rsidR="00105DCE" w:rsidRDefault="00000000">
      <w:pPr>
        <w:pStyle w:val="MdParagraph"/>
      </w:pPr>
      <w:r>
        <w:t>Corporate instructional designers typically design self-contained courses aimed at closing a specific performance gap. They often assign one module per learning objective. K-12 teachers, however, design within a much broader, interconnected framework.</w:t>
      </w:r>
    </w:p>
    <w:p w14:paraId="6280EAB6" w14:textId="77777777" w:rsidR="00105DCE" w:rsidRDefault="00105DCE">
      <w:pPr>
        <w:pStyle w:val="MdSpace"/>
        <w:spacing w:after="60"/>
      </w:pPr>
    </w:p>
    <w:p w14:paraId="06B92A6D" w14:textId="77777777" w:rsidR="00105DCE" w:rsidRDefault="00000000">
      <w:pPr>
        <w:pStyle w:val="MdHeading3"/>
      </w:pPr>
      <w:r>
        <w:lastRenderedPageBreak/>
        <w:t>Scope and Sequence</w:t>
      </w:r>
    </w:p>
    <w:p w14:paraId="089D5711" w14:textId="77777777" w:rsidR="00105DCE" w:rsidRDefault="00000000">
      <w:pPr>
        <w:pStyle w:val="MdParagraph"/>
      </w:pPr>
      <w:r>
        <w:t xml:space="preserve">Instead of standalone courses, K-12 teachers build curriculum based on a </w:t>
      </w:r>
      <w:r>
        <w:rPr>
          <w:rStyle w:val="MdStrong"/>
        </w:rPr>
        <w:t>Scope and Sequence</w:t>
      </w:r>
      <w:r>
        <w:t xml:space="preserve"> [3]. The "scope" defines the breadth and depth of what will be taught across an entire school year, ensuring all age-appropriate skills are covered [3]. The "sequence" determines the logical, cumulative order in which these skills are taught [3]. In a K-12 platform, a "course" is often a year-long endeavor divided into smaller, manageable chunks.</w:t>
      </w:r>
    </w:p>
    <w:p w14:paraId="1721D4E3" w14:textId="77777777" w:rsidR="00105DCE" w:rsidRDefault="00105DCE">
      <w:pPr>
        <w:pStyle w:val="MdSpace"/>
        <w:spacing w:after="60"/>
      </w:pPr>
    </w:p>
    <w:p w14:paraId="07F0B44D" w14:textId="77777777" w:rsidR="00105DCE" w:rsidRDefault="00000000">
      <w:pPr>
        <w:pStyle w:val="MdHeading3"/>
      </w:pPr>
      <w:r>
        <w:t>Unit Plans vs. Lesson Plans</w:t>
      </w:r>
    </w:p>
    <w:p w14:paraId="3841AB6A" w14:textId="77777777" w:rsidR="00105DCE" w:rsidRDefault="00000000">
      <w:pPr>
        <w:pStyle w:val="MdParagraph"/>
      </w:pPr>
      <w:r>
        <w:t xml:space="preserve">K-12 educators organize their scope and sequence into </w:t>
      </w:r>
      <w:r>
        <w:rPr>
          <w:rStyle w:val="MdStrong"/>
        </w:rPr>
        <w:t>Unit Plans</w:t>
      </w:r>
      <w:r>
        <w:t xml:space="preserve"> and </w:t>
      </w:r>
      <w:r>
        <w:rPr>
          <w:rStyle w:val="MdStrong"/>
        </w:rPr>
        <w:t>Lesson Plans</w:t>
      </w:r>
      <w:r>
        <w:t xml:space="preserve"> [4]. </w:t>
      </w:r>
    </w:p>
    <w:p w14:paraId="4A59D940" w14:textId="77777777" w:rsidR="00105DC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Unit Plans:</w:t>
      </w:r>
      <w:r>
        <w:t xml:space="preserve"> These group together related lessons around a central theme or set of standards over several weeks [4]. A unit plan typically includes the targeted standards, essential questions, vocabulary, teaching strategies, and both formative and summative assessments [4].</w:t>
      </w:r>
    </w:p>
    <w:p w14:paraId="73F03A9F" w14:textId="77777777" w:rsidR="00105DC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Lesson Plans:</w:t>
      </w:r>
      <w:r>
        <w:t xml:space="preserve"> These are the daily instructional guides. Unlike corporate ID, where one learning objective equals one module, a single K-12 standard often requires multiple daily lesson plans to achieve mastery [4].</w:t>
      </w:r>
    </w:p>
    <w:p w14:paraId="6205E5D0" w14:textId="77777777" w:rsidR="00105DCE" w:rsidRDefault="00105DCE">
      <w:pPr>
        <w:pStyle w:val="MdSpace"/>
        <w:spacing w:after="60"/>
      </w:pPr>
    </w:p>
    <w:p w14:paraId="174E46BD" w14:textId="77777777" w:rsidR="00105DCE" w:rsidRDefault="00000000">
      <w:pPr>
        <w:pStyle w:val="MdHeading2"/>
      </w:pPr>
      <w:r>
        <w:t>Learning Objectives vs. Learning Targets</w:t>
      </w:r>
    </w:p>
    <w:p w14:paraId="30FC82E6" w14:textId="77777777" w:rsidR="00105DCE" w:rsidRDefault="00000000">
      <w:pPr>
        <w:pStyle w:val="MdParagraph"/>
      </w:pPr>
      <w:r>
        <w:t>Corporate instructional designers frequently use the ABCD format (Audience, Behavior, Condition, Degree) to write precise learning objectives. While K-12 teachers also use learning objectives, their approach and terminology differ significantly.</w:t>
      </w:r>
    </w:p>
    <w:p w14:paraId="62367AE8" w14:textId="77777777" w:rsidR="00105DCE" w:rsidRDefault="00105DCE">
      <w:pPr>
        <w:pStyle w:val="MdSpace"/>
        <w:spacing w:after="60"/>
      </w:pPr>
    </w:p>
    <w:p w14:paraId="5F160FD0" w14:textId="77777777" w:rsidR="00105DCE" w:rsidRDefault="00000000">
      <w:pPr>
        <w:pStyle w:val="MdHeading3"/>
      </w:pPr>
      <w:r>
        <w:t>Standards-Based Alignment</w:t>
      </w:r>
    </w:p>
    <w:p w14:paraId="6C69903A" w14:textId="77777777" w:rsidR="00105DCE" w:rsidRDefault="00000000">
      <w:pPr>
        <w:pStyle w:val="MdParagraph"/>
      </w:pPr>
      <w:r>
        <w:t xml:space="preserve">K-12 course design does not begin with a business need; it begins with externally mandated state or national standards (such as the Common Core) [5]. Teachers engage in a process called "unpacking" or "deconstructing" these standards to identify the specific content, skills, and cognitive levels required [5]. </w:t>
      </w:r>
    </w:p>
    <w:p w14:paraId="28CEEFF7" w14:textId="77777777" w:rsidR="00105DCE" w:rsidRDefault="00105DCE">
      <w:pPr>
        <w:pStyle w:val="MdSpace"/>
        <w:spacing w:after="60"/>
      </w:pPr>
    </w:p>
    <w:p w14:paraId="25D8A9FA" w14:textId="77777777" w:rsidR="00105DCE" w:rsidRDefault="00000000">
      <w:pPr>
        <w:pStyle w:val="MdHeading3"/>
      </w:pPr>
      <w:r>
        <w:t>SWBAT and "I Can" Statements</w:t>
      </w:r>
    </w:p>
    <w:p w14:paraId="03FDAE18" w14:textId="77777777" w:rsidR="00105DCE" w:rsidRDefault="00000000">
      <w:pPr>
        <w:pStyle w:val="MdParagraph"/>
      </w:pPr>
      <w:r>
        <w:t xml:space="preserve">From these unpacked standards, teachers derive their objectives. While they may use formal objectives for their own planning, student-facing objectives are typically written as </w:t>
      </w:r>
      <w:r>
        <w:rPr>
          <w:rStyle w:val="MdStrong"/>
        </w:rPr>
        <w:t>Learning Targets</w:t>
      </w:r>
      <w:r>
        <w:t xml:space="preserve"> [6]. </w:t>
      </w:r>
    </w:p>
    <w:p w14:paraId="360C9321" w14:textId="77777777" w:rsidR="00105DCE" w:rsidRDefault="00105DCE">
      <w:pPr>
        <w:pStyle w:val="MdSpace"/>
        <w:spacing w:after="60"/>
      </w:pPr>
    </w:p>
    <w:p w14:paraId="1B752C9C" w14:textId="77777777" w:rsidR="00105DCE" w:rsidRDefault="00000000">
      <w:pPr>
        <w:pStyle w:val="MdParagraph"/>
      </w:pPr>
      <w:r>
        <w:t xml:space="preserve">Teachers commonly use the </w:t>
      </w:r>
      <w:r>
        <w:rPr>
          <w:rStyle w:val="MdStrong"/>
        </w:rPr>
        <w:t>SWBAT</w:t>
      </w:r>
      <w:r>
        <w:t xml:space="preserve"> format ("Students Will Be Able To...") to frame their goals [4]. For the students themselves, these are translated into </w:t>
      </w:r>
      <w:r>
        <w:rPr>
          <w:rStyle w:val="MdStrong"/>
        </w:rPr>
        <w:t>"I Can" statements</w:t>
      </w:r>
      <w:r>
        <w:t xml:space="preserve"> [6]. For example, instead of a corporate objective like "Given a software simulation, the user will process a return with 100% accuracy," a K-12 learning target would be phrased as, "I can identify the main idea of a text and find supporting details." These statements are designed to be in student-friendly language, allowing children to understand their goals and monitor their own progress [6].</w:t>
      </w:r>
    </w:p>
    <w:p w14:paraId="793D2B6B" w14:textId="77777777" w:rsidR="00105DCE" w:rsidRDefault="00105DCE">
      <w:pPr>
        <w:pStyle w:val="MdSpace"/>
        <w:spacing w:after="60"/>
      </w:pPr>
    </w:p>
    <w:p w14:paraId="3AB7A467" w14:textId="77777777" w:rsidR="00105DCE" w:rsidRDefault="00000000">
      <w:pPr>
        <w:pStyle w:val="MdHeading2"/>
      </w:pPr>
      <w:r>
        <w:lastRenderedPageBreak/>
        <w:t>Assessment Strategies</w:t>
      </w:r>
    </w:p>
    <w:p w14:paraId="322AD910" w14:textId="77777777" w:rsidR="00105DCE" w:rsidRDefault="00000000">
      <w:pPr>
        <w:pStyle w:val="MdParagraph"/>
      </w:pPr>
      <w:r>
        <w:t>Assessment in K-12 education serves a different primary function than in corporate environments. While corporate ID often relies on end-of-module knowledge checks and a final mastery quiz (aligning with Kirkpatrick's Level 2 evaluation), K-12 teachers utilize a continuous cycle of formative and summative assessments.</w:t>
      </w:r>
    </w:p>
    <w:p w14:paraId="30D605E4" w14:textId="77777777" w:rsidR="00105DCE" w:rsidRDefault="00105DCE">
      <w:pPr>
        <w:pStyle w:val="MdSpace"/>
        <w:spacing w:after="60"/>
      </w:pPr>
    </w:p>
    <w:p w14:paraId="1DACD5D2" w14:textId="77777777" w:rsidR="00105DCE" w:rsidRDefault="00000000">
      <w:pPr>
        <w:pStyle w:val="MdHeading3"/>
      </w:pPr>
      <w:r>
        <w:t>Formative Assessment</w:t>
      </w:r>
    </w:p>
    <w:p w14:paraId="0A93928A" w14:textId="77777777" w:rsidR="00105DCE" w:rsidRDefault="00000000">
      <w:pPr>
        <w:pStyle w:val="MdParagraph"/>
      </w:pPr>
      <w:r>
        <w:t xml:space="preserve">Formative assessments are ongoing, low-stakes checks used to monitor student learning and provide immediate feedback [5]. Crucially, teachers use this data to adjust their instruction in real-time [5]. In an eLearning environment, this often takes the form of </w:t>
      </w:r>
      <w:r>
        <w:rPr>
          <w:rStyle w:val="MdStrong"/>
        </w:rPr>
        <w:t>Exit Tickets</w:t>
      </w:r>
      <w:r>
        <w:t>—brief assessments at the end of a lesson that tell the teacher if the students grasped the daily concept before moving on to the next [7].</w:t>
      </w:r>
    </w:p>
    <w:p w14:paraId="5A6962EA" w14:textId="77777777" w:rsidR="00105DCE" w:rsidRDefault="00105DCE">
      <w:pPr>
        <w:pStyle w:val="MdSpace"/>
        <w:spacing w:after="60"/>
      </w:pPr>
    </w:p>
    <w:p w14:paraId="1804A059" w14:textId="77777777" w:rsidR="00105DCE" w:rsidRDefault="00000000">
      <w:pPr>
        <w:pStyle w:val="MdHeading3"/>
      </w:pPr>
      <w:r>
        <w:t>Summative Assessment</w:t>
      </w:r>
    </w:p>
    <w:p w14:paraId="04883B0C" w14:textId="77777777" w:rsidR="00105DCE" w:rsidRDefault="00000000">
      <w:pPr>
        <w:pStyle w:val="MdParagraph"/>
      </w:pPr>
      <w:r>
        <w:t xml:space="preserve">Summative assessments evaluate student learning at the end of an instructional unit by comparing it against the initial standards [5]. While </w:t>
      </w:r>
      <w:proofErr w:type="gramStart"/>
      <w:r>
        <w:t>similar to</w:t>
      </w:r>
      <w:proofErr w:type="gramEnd"/>
      <w:r>
        <w:t xml:space="preserve"> a corporate mastery quiz, K-12 summative assessments are often more varied, including projects, portfolios, or performance tasks, rather than just multiple-choice quizzes.</w:t>
      </w:r>
    </w:p>
    <w:p w14:paraId="794DDE1F" w14:textId="77777777" w:rsidR="00105DCE" w:rsidRDefault="00105DCE">
      <w:pPr>
        <w:pStyle w:val="MdSpace"/>
        <w:spacing w:after="60"/>
      </w:pPr>
    </w:p>
    <w:p w14:paraId="3B4F5641" w14:textId="77777777" w:rsidR="00105DCE" w:rsidRDefault="00000000">
      <w:pPr>
        <w:pStyle w:val="MdHeading2"/>
      </w:pPr>
      <w:r>
        <w:t>The Understanding by Design (</w:t>
      </w:r>
      <w:proofErr w:type="spellStart"/>
      <w:r>
        <w:t>UbD</w:t>
      </w:r>
      <w:proofErr w:type="spellEnd"/>
      <w:r>
        <w:t>) Framework</w:t>
      </w:r>
    </w:p>
    <w:p w14:paraId="6DACD35A" w14:textId="77777777" w:rsidR="00105DCE" w:rsidRDefault="00000000">
      <w:pPr>
        <w:pStyle w:val="MdParagraph"/>
      </w:pPr>
      <w:r>
        <w:t xml:space="preserve">While corporate ID heavily utilizes the ADDIE model or SAM, K-12 educators frequently employ the </w:t>
      </w:r>
      <w:r>
        <w:rPr>
          <w:rStyle w:val="MdStrong"/>
        </w:rPr>
        <w:t>Understanding by Design (</w:t>
      </w:r>
      <w:proofErr w:type="spellStart"/>
      <w:r>
        <w:rPr>
          <w:rStyle w:val="MdStrong"/>
        </w:rPr>
        <w:t>UbD</w:t>
      </w:r>
      <w:proofErr w:type="spellEnd"/>
      <w:r>
        <w:rPr>
          <w:rStyle w:val="MdStrong"/>
        </w:rPr>
        <w:t>)</w:t>
      </w:r>
      <w:r>
        <w:t xml:space="preserve"> framework, also known as backward design [8]. Created by Grant Wiggins and Jay McTighe, </w:t>
      </w:r>
      <w:proofErr w:type="spellStart"/>
      <w:r>
        <w:t>UbD</w:t>
      </w:r>
      <w:proofErr w:type="spellEnd"/>
      <w:r>
        <w:t xml:space="preserve"> focuses on teaching for deep understanding and transfer of learning [8].</w:t>
      </w:r>
    </w:p>
    <w:p w14:paraId="1A351870" w14:textId="77777777" w:rsidR="00105DCE" w:rsidRDefault="00105DCE">
      <w:pPr>
        <w:pStyle w:val="MdSpace"/>
        <w:spacing w:after="60"/>
      </w:pPr>
    </w:p>
    <w:p w14:paraId="01F7342B" w14:textId="77777777" w:rsidR="00105DCE" w:rsidRDefault="00000000">
      <w:pPr>
        <w:pStyle w:val="MdParagraph"/>
      </w:pPr>
      <w:r>
        <w:t xml:space="preserve">The </w:t>
      </w:r>
      <w:proofErr w:type="spellStart"/>
      <w:r>
        <w:t>UbD</w:t>
      </w:r>
      <w:proofErr w:type="spellEnd"/>
      <w:r>
        <w:t xml:space="preserve"> framework consists of three stages:</w:t>
      </w:r>
    </w:p>
    <w:p w14:paraId="039900EF" w14:textId="77777777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Identify Desired Results:</w:t>
      </w:r>
      <w:r>
        <w:t xml:space="preserve"> What should students know, understand, and be able to do? This involves unpacking standards and defining "Essential Questions" and "Big Ideas" [8].</w:t>
      </w:r>
    </w:p>
    <w:p w14:paraId="1FC583DB" w14:textId="77777777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Determine Acceptable Evidence:</w:t>
      </w:r>
      <w:r>
        <w:t xml:space="preserve"> How will we know if students have achieved the desired results? This involves designing the summative assessments before planning the lessons [8].</w:t>
      </w:r>
    </w:p>
    <w:p w14:paraId="77602769" w14:textId="77777777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Plan Learning Experiences and Instruction:</w:t>
      </w:r>
      <w:r>
        <w:t xml:space="preserve"> What activities will equip students with the needed knowledge and skills? [8]</w:t>
      </w:r>
    </w:p>
    <w:p w14:paraId="3ED4E74F" w14:textId="77777777" w:rsidR="00105DCE" w:rsidRDefault="00105DCE">
      <w:pPr>
        <w:pStyle w:val="MdSpace"/>
        <w:spacing w:after="60"/>
      </w:pPr>
    </w:p>
    <w:p w14:paraId="08BAA32F" w14:textId="77777777" w:rsidR="00105DCE" w:rsidRDefault="00000000">
      <w:pPr>
        <w:pStyle w:val="MdHeading2"/>
      </w:pPr>
      <w:r>
        <w:t>Universal Design for Learning (UDL)</w:t>
      </w:r>
    </w:p>
    <w:p w14:paraId="7B13019C" w14:textId="77777777" w:rsidR="00105DCE" w:rsidRDefault="00000000">
      <w:pPr>
        <w:pStyle w:val="MdParagraph"/>
      </w:pPr>
      <w:r>
        <w:t xml:space="preserve">A critical distinction for K-12 platform developers is the legal and ethical requirement for inclusivity. Corporate ID generally designs for a relatively homogeneous adult audience. K-12 classrooms, however, contain extreme learner variability, including students with </w:t>
      </w:r>
      <w:r>
        <w:lastRenderedPageBreak/>
        <w:t>Individualized Education Programs (IEPs), English Language Learners (ELLs), and varying cognitive abilities [9].</w:t>
      </w:r>
    </w:p>
    <w:p w14:paraId="2331BF13" w14:textId="77777777" w:rsidR="00105DCE" w:rsidRDefault="00105DCE">
      <w:pPr>
        <w:pStyle w:val="MdSpace"/>
        <w:spacing w:after="60"/>
      </w:pPr>
    </w:p>
    <w:p w14:paraId="467C0A0D" w14:textId="77777777" w:rsidR="00105DCE" w:rsidRDefault="00000000">
      <w:pPr>
        <w:pStyle w:val="MdParagraph"/>
      </w:pPr>
      <w:r>
        <w:t xml:space="preserve">To address this, K-12 teachers use the </w:t>
      </w:r>
      <w:r>
        <w:rPr>
          <w:rStyle w:val="MdStrong"/>
        </w:rPr>
        <w:t>Universal Design for Learning (UDL)</w:t>
      </w:r>
      <w:r>
        <w:t xml:space="preserve"> framework [9]. UDL requires that all learning experiences be designed to eliminate barriers by providing:</w:t>
      </w:r>
    </w:p>
    <w:p w14:paraId="1F9A7FDF" w14:textId="77777777" w:rsidR="00105DC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Multiple Means of Engagement:</w:t>
      </w:r>
      <w:r>
        <w:t xml:space="preserve"> Offering choices, varying difficulty levels, and gamification to sustain interest [9].</w:t>
      </w:r>
    </w:p>
    <w:p w14:paraId="05285E1D" w14:textId="77777777" w:rsidR="00105DC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Multiple Means of Representation:</w:t>
      </w:r>
      <w:r>
        <w:t xml:space="preserve"> Presenting content in various formats (text, audio, video, interactive simulations) [9].</w:t>
      </w:r>
    </w:p>
    <w:p w14:paraId="78AF38AD" w14:textId="77777777" w:rsidR="00105DC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Multiple Means of Action and Expression:</w:t>
      </w:r>
      <w:r>
        <w:t xml:space="preserve"> Allowing students to demonstrate their knowledge in different ways (written, spoken, drawn) [9].</w:t>
      </w:r>
    </w:p>
    <w:p w14:paraId="751E4340" w14:textId="77777777" w:rsidR="00105DCE" w:rsidRDefault="00105DCE">
      <w:pPr>
        <w:pStyle w:val="MdSpace"/>
        <w:spacing w:after="60"/>
      </w:pPr>
    </w:p>
    <w:p w14:paraId="2506D893" w14:textId="77777777" w:rsidR="00105DCE" w:rsidRDefault="00000000">
      <w:pPr>
        <w:pStyle w:val="MdHeading2"/>
      </w:pPr>
      <w:r>
        <w:t>Summary Comparison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3366"/>
        <w:gridCol w:w="3904"/>
      </w:tblGrid>
      <w:tr w:rsidR="00105DCE" w14:paraId="01444FD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F4FA7" w14:textId="77777777" w:rsidR="00105DCE" w:rsidRDefault="00000000">
            <w:pPr>
              <w:pStyle w:val="MdTableHeader"/>
            </w:pPr>
            <w:r>
              <w:t>Feature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F81BF" w14:textId="77777777" w:rsidR="00105DCE" w:rsidRDefault="00000000">
            <w:pPr>
              <w:pStyle w:val="MdTableHeader"/>
            </w:pPr>
            <w:r>
              <w:t>Corporate Instructional Design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1728D" w14:textId="77777777" w:rsidR="00105DCE" w:rsidRDefault="00000000">
            <w:pPr>
              <w:pStyle w:val="MdTableHeader"/>
            </w:pPr>
            <w:r>
              <w:t>K-12 Educational Design</w:t>
            </w:r>
          </w:p>
        </w:tc>
      </w:tr>
      <w:tr w:rsidR="00105DCE" w14:paraId="05BF677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6D16" w14:textId="77777777" w:rsidR="00105DCE" w:rsidRDefault="00000000">
            <w:pPr>
              <w:pStyle w:val="MdTableCell"/>
            </w:pPr>
            <w:r>
              <w:rPr>
                <w:rStyle w:val="MdStrong"/>
              </w:rPr>
              <w:t>Primary Framework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A762" w14:textId="77777777" w:rsidR="00105DCE" w:rsidRDefault="00000000">
            <w:pPr>
              <w:pStyle w:val="MdTableCell"/>
            </w:pPr>
            <w:r>
              <w:t>ADDIE, SAM, Action Mapping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1708" w14:textId="77777777" w:rsidR="00105DCE" w:rsidRDefault="00000000">
            <w:pPr>
              <w:pStyle w:val="MdTableCell"/>
            </w:pPr>
            <w:r>
              <w:t>Understanding by Design (</w:t>
            </w:r>
            <w:proofErr w:type="spellStart"/>
            <w:r>
              <w:t>UbD</w:t>
            </w:r>
            <w:proofErr w:type="spellEnd"/>
            <w:r>
              <w:t>), UDL</w:t>
            </w:r>
          </w:p>
        </w:tc>
      </w:tr>
      <w:tr w:rsidR="00105DCE" w14:paraId="7C82E8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CC84" w14:textId="77777777" w:rsidR="00105DCE" w:rsidRDefault="00000000">
            <w:pPr>
              <w:pStyle w:val="MdTableCell"/>
            </w:pPr>
            <w:r>
              <w:rPr>
                <w:rStyle w:val="MdStrong"/>
              </w:rPr>
              <w:t>Learning Theory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9239" w14:textId="77777777" w:rsidR="00105DCE" w:rsidRDefault="00000000">
            <w:pPr>
              <w:pStyle w:val="MdTableCell"/>
            </w:pPr>
            <w:r>
              <w:t>Andragogy (Adult Learning)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619F" w14:textId="77777777" w:rsidR="00105DCE" w:rsidRDefault="00000000">
            <w:pPr>
              <w:pStyle w:val="MdTableCell"/>
            </w:pPr>
            <w:r>
              <w:t>Pedagogy (Child Learning)</w:t>
            </w:r>
          </w:p>
        </w:tc>
      </w:tr>
      <w:tr w:rsidR="00105DCE" w14:paraId="59ACDCD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CA97" w14:textId="77777777" w:rsidR="00105DCE" w:rsidRDefault="00000000">
            <w:pPr>
              <w:pStyle w:val="MdTableCell"/>
            </w:pPr>
            <w:r>
              <w:rPr>
                <w:rStyle w:val="MdStrong"/>
              </w:rPr>
              <w:t>Starting Point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EE60" w14:textId="77777777" w:rsidR="00105DCE" w:rsidRDefault="00000000">
            <w:pPr>
              <w:pStyle w:val="MdTableCell"/>
            </w:pPr>
            <w:r>
              <w:t>Business need / Performance gap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CBD0" w14:textId="77777777" w:rsidR="00105DCE" w:rsidRDefault="00000000">
            <w:pPr>
              <w:pStyle w:val="MdTableCell"/>
            </w:pPr>
            <w:r>
              <w:t>State or National Standards</w:t>
            </w:r>
          </w:p>
        </w:tc>
      </w:tr>
      <w:tr w:rsidR="00105DCE" w14:paraId="32985A1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8AEE" w14:textId="77777777" w:rsidR="00105DCE" w:rsidRDefault="00000000">
            <w:pPr>
              <w:pStyle w:val="MdTableCell"/>
            </w:pPr>
            <w:r>
              <w:rPr>
                <w:rStyle w:val="MdStrong"/>
              </w:rPr>
              <w:t>Structuring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A51A" w14:textId="6284C78A" w:rsidR="00105DCE" w:rsidRDefault="00000000">
            <w:pPr>
              <w:pStyle w:val="MdTableCell"/>
            </w:pPr>
            <w:r>
              <w:t xml:space="preserve">Standalone Courses </w:t>
            </w:r>
            <w:r w:rsidR="003237ED">
              <w:sym w:font="Wingdings" w:char="F0E0"/>
            </w:r>
            <w:r>
              <w:t xml:space="preserve"> Modules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ABB6" w14:textId="15203860" w:rsidR="00105DCE" w:rsidRDefault="00000000">
            <w:pPr>
              <w:pStyle w:val="MdTableCell"/>
            </w:pPr>
            <w:r>
              <w:t xml:space="preserve">Scope &amp; Sequence </w:t>
            </w:r>
            <w:r w:rsidR="003237ED">
              <w:sym w:font="Wingdings" w:char="F0E0"/>
            </w:r>
            <w:r>
              <w:t xml:space="preserve"> Units </w:t>
            </w:r>
            <w:r w:rsidR="003237ED">
              <w:sym w:font="Wingdings" w:char="F0E0"/>
            </w:r>
            <w:r>
              <w:t xml:space="preserve"> Lessons</w:t>
            </w:r>
          </w:p>
        </w:tc>
      </w:tr>
      <w:tr w:rsidR="00105DCE" w14:paraId="63D1237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9FF0" w14:textId="77777777" w:rsidR="00105DCE" w:rsidRDefault="00000000">
            <w:pPr>
              <w:pStyle w:val="MdTableCell"/>
            </w:pPr>
            <w:r>
              <w:rPr>
                <w:rStyle w:val="MdStrong"/>
              </w:rPr>
              <w:t>Objective Format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7888" w14:textId="77777777" w:rsidR="00105DCE" w:rsidRDefault="00000000">
            <w:pPr>
              <w:pStyle w:val="MdTableCell"/>
            </w:pPr>
            <w:r>
              <w:t>ABCD Format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B1AE" w14:textId="77777777" w:rsidR="00105DCE" w:rsidRDefault="00000000">
            <w:pPr>
              <w:pStyle w:val="MdTableCell"/>
            </w:pPr>
            <w:r>
              <w:t>SWBAT, "I Can" Statements (Learning Targets)</w:t>
            </w:r>
          </w:p>
        </w:tc>
      </w:tr>
      <w:tr w:rsidR="00105DCE" w14:paraId="0182B43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9D52" w14:textId="77777777" w:rsidR="00105DCE" w:rsidRDefault="00000000">
            <w:pPr>
              <w:pStyle w:val="MdTableCell"/>
            </w:pPr>
            <w:r>
              <w:rPr>
                <w:rStyle w:val="MdStrong"/>
              </w:rPr>
              <w:t>Assessment Focus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38FF" w14:textId="77777777" w:rsidR="00105DCE" w:rsidRDefault="00000000">
            <w:pPr>
              <w:pStyle w:val="MdTableCell"/>
            </w:pPr>
            <w:r>
              <w:t>Knowledge Checks, Mastery Quiz (Kirkpatrick L2)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38D2" w14:textId="77777777" w:rsidR="00105DCE" w:rsidRDefault="00000000">
            <w:pPr>
              <w:pStyle w:val="MdTableCell"/>
            </w:pPr>
            <w:r>
              <w:t>Formative Assessment (Exit Tickets), Summative Assessment</w:t>
            </w:r>
          </w:p>
        </w:tc>
      </w:tr>
      <w:tr w:rsidR="00105DCE" w14:paraId="5B9F49A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9434" w14:textId="77777777" w:rsidR="00105DCE" w:rsidRDefault="00000000">
            <w:pPr>
              <w:pStyle w:val="MdTableCell"/>
            </w:pPr>
            <w:r>
              <w:rPr>
                <w:rStyle w:val="MdStrong"/>
              </w:rPr>
              <w:t>Learner Variability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5507" w14:textId="77777777" w:rsidR="00105DCE" w:rsidRDefault="00000000">
            <w:pPr>
              <w:pStyle w:val="MdTableCell"/>
            </w:pPr>
            <w:r>
              <w:t>Generally homogeneous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AD1E" w14:textId="77777777" w:rsidR="00105DCE" w:rsidRDefault="00000000">
            <w:pPr>
              <w:pStyle w:val="MdTableCell"/>
            </w:pPr>
            <w:r>
              <w:t>Highly diverse; requires differentiated instruction (UDL)</w:t>
            </w:r>
          </w:p>
        </w:tc>
      </w:tr>
      <w:tr w:rsidR="00105DCE" w14:paraId="1173F41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E83B" w14:textId="77777777" w:rsidR="00105DCE" w:rsidRDefault="00000000">
            <w:pPr>
              <w:pStyle w:val="MdTableCell"/>
            </w:pPr>
            <w:r>
              <w:rPr>
                <w:rStyle w:val="MdStrong"/>
              </w:rPr>
              <w:t>Motivation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D623" w14:textId="77777777" w:rsidR="00105DCE" w:rsidRDefault="00000000">
            <w:pPr>
              <w:pStyle w:val="MdTableCell"/>
            </w:pPr>
            <w:r>
              <w:t>Intrinsic, career-focused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A0C1" w14:textId="77777777" w:rsidR="00105DCE" w:rsidRDefault="00000000">
            <w:pPr>
              <w:pStyle w:val="MdTableCell"/>
            </w:pPr>
            <w:r>
              <w:t>Extrinsic, requires gamification and scaffolding</w:t>
            </w:r>
          </w:p>
        </w:tc>
      </w:tr>
    </w:tbl>
    <w:p w14:paraId="2868DADF" w14:textId="77777777" w:rsidR="00105DCE" w:rsidRDefault="00000000">
      <w:pPr>
        <w:pStyle w:val="MdHeading2"/>
      </w:pPr>
      <w:r>
        <w:t>Recommendations for Platform Development</w:t>
      </w:r>
    </w:p>
    <w:p w14:paraId="59A16AC9" w14:textId="77777777" w:rsidR="00105DCE" w:rsidRDefault="00000000">
      <w:pPr>
        <w:pStyle w:val="MdParagraph"/>
      </w:pPr>
      <w:r>
        <w:t>To successfully serve K-12 educators, an eLearning platform should include features that support their specific workflows:</w:t>
      </w:r>
    </w:p>
    <w:p w14:paraId="208A8FB1" w14:textId="77777777" w:rsidR="00105DCE" w:rsidRDefault="00105DCE">
      <w:pPr>
        <w:pStyle w:val="MdSpace"/>
        <w:spacing w:after="60"/>
      </w:pPr>
    </w:p>
    <w:p w14:paraId="7EB737A3" w14:textId="77777777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Standards Integration:</w:t>
      </w:r>
      <w:r>
        <w:t xml:space="preserve"> Allow teachers to tag courses, units, and individual lessons with specific state or national standards.</w:t>
      </w:r>
    </w:p>
    <w:p w14:paraId="55DE6D36" w14:textId="31ED80D8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Hierarchical Organization:</w:t>
      </w:r>
      <w:r>
        <w:t xml:space="preserve"> Support a "Scope and Sequence" structure that allows for Year </w:t>
      </w:r>
      <w:r w:rsidR="003237ED">
        <w:sym w:font="Wingdings" w:char="F0E0"/>
      </w:r>
      <w:r w:rsidR="003237ED">
        <w:t xml:space="preserve"> </w:t>
      </w:r>
      <w:r>
        <w:t xml:space="preserve"> Unit </w:t>
      </w:r>
      <w:r w:rsidR="003237ED">
        <w:sym w:font="Wingdings" w:char="F0E0"/>
      </w:r>
      <w:r>
        <w:t xml:space="preserve"> Lesson organization, rather than just Course </w:t>
      </w:r>
      <w:r w:rsidR="003237ED">
        <w:sym w:font="Wingdings" w:char="F0E0"/>
      </w:r>
      <w:r>
        <w:t xml:space="preserve"> Module.</w:t>
      </w:r>
    </w:p>
    <w:p w14:paraId="51109A57" w14:textId="77777777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Student-Facing Targets:</w:t>
      </w:r>
      <w:r>
        <w:t xml:space="preserve"> Provide distinct fields for teacher-facing objectives and student-facing "I Can" statements.</w:t>
      </w:r>
    </w:p>
    <w:p w14:paraId="04FDE0C3" w14:textId="77777777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Formative Assessment Tools:</w:t>
      </w:r>
      <w:r>
        <w:t xml:space="preserve"> Include quick, low-stakes assessment tools like digital "Exit Tickets" that provide teachers with real-time data dashboards to adjust future instruction.</w:t>
      </w:r>
    </w:p>
    <w:p w14:paraId="1AA4548F" w14:textId="77777777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UDL Capabilities:</w:t>
      </w:r>
      <w:r>
        <w:t xml:space="preserve"> Ensure the platform supports multimodal content delivery (audio, video, text) and allows students multiple ways to submit assignments (record audio, draw, type) to support differentiated instruction.</w:t>
      </w:r>
    </w:p>
    <w:p w14:paraId="2D4CC2E0" w14:textId="77777777" w:rsidR="00105DC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Age-Appropriate UI:</w:t>
      </w:r>
      <w:r>
        <w:t xml:space="preserve"> Consider allowing teachers to toggle different user interfaces based on grade bands (e.g., larger touch targets and visual menus for early elementary, vs. text-based menus for high school) [2].</w:t>
      </w:r>
    </w:p>
    <w:p w14:paraId="74DCC571" w14:textId="77777777" w:rsidR="00105DCE" w:rsidRDefault="00105DCE">
      <w:pPr>
        <w:pStyle w:val="MdSpace"/>
        <w:spacing w:after="60"/>
      </w:pPr>
    </w:p>
    <w:p w14:paraId="548F777C" w14:textId="77777777" w:rsidR="00105DCE" w:rsidRDefault="00000000">
      <w:pPr>
        <w:pStyle w:val="MdParagraph"/>
      </w:pPr>
      <w:r>
        <w:t>By incorporating these K-12 specific methodologies alongside traditional corporate ID tools, the platform will offer a robust, flexible environment suitable for both user bases.</w:t>
      </w:r>
    </w:p>
    <w:p w14:paraId="1EE7BE92" w14:textId="77777777" w:rsidR="00105DCE" w:rsidRDefault="00105DCE">
      <w:pPr>
        <w:pStyle w:val="MdSpace"/>
        <w:spacing w:after="60"/>
      </w:pPr>
    </w:p>
    <w:p w14:paraId="3B869771" w14:textId="77777777" w:rsidR="00105DCE" w:rsidRDefault="00105DCE">
      <w:pPr>
        <w:pStyle w:val="MdHr"/>
        <w:pBdr>
          <w:bottom w:val="single" w:sz="6" w:space="1" w:color="auto"/>
        </w:pBdr>
      </w:pPr>
    </w:p>
    <w:p w14:paraId="356CB0EE" w14:textId="77777777" w:rsidR="00105DCE" w:rsidRDefault="00105DCE">
      <w:pPr>
        <w:pStyle w:val="MdSpace"/>
        <w:spacing w:after="60"/>
      </w:pPr>
    </w:p>
    <w:p w14:paraId="25CC5D00" w14:textId="77777777" w:rsidR="00105DCE" w:rsidRDefault="00000000">
      <w:pPr>
        <w:pStyle w:val="MdHeading2"/>
      </w:pPr>
      <w:r>
        <w:t>References</w:t>
      </w:r>
    </w:p>
    <w:p w14:paraId="2C1887DE" w14:textId="77777777" w:rsidR="00105DCE" w:rsidRDefault="00000000">
      <w:pPr>
        <w:pStyle w:val="MdParagraph"/>
      </w:pPr>
      <w:r>
        <w:t xml:space="preserve">[1] eLearning Industry. "Pedagogy Vs Andragogy In eLearning: Can You Tell </w:t>
      </w:r>
      <w:proofErr w:type="gramStart"/>
      <w:r>
        <w:t>The</w:t>
      </w:r>
      <w:proofErr w:type="gramEnd"/>
      <w:r>
        <w:t xml:space="preserve"> Difference?" </w:t>
      </w:r>
      <w:hyperlink r:id="rId5" w:history="1">
        <w:r>
          <w:rPr>
            <w:rStyle w:val="MdLink"/>
          </w:rPr>
          <w:t>https://elearningindustry.com/pedagogy-vs-andragogy-in-elearning-can-you-tell-the-difference</w:t>
        </w:r>
      </w:hyperlink>
      <w:r>
        <w:t xml:space="preserve"> [2] Educational Initiatives. "Design considerations for creating engaging learning content for kids." </w:t>
      </w:r>
      <w:hyperlink r:id="rId6" w:history="1">
        <w:r>
          <w:rPr>
            <w:rStyle w:val="MdLink"/>
          </w:rPr>
          <w:t>https://ei.study/design-considerations-for-creating-engaging-learning-content-for-kids/</w:t>
        </w:r>
      </w:hyperlink>
      <w:r>
        <w:t xml:space="preserve"> [3] Iowa Reading Research Center. "Scope and Sequence: What Is It, and How Do Educators Use It to Guide Instruction?" </w:t>
      </w:r>
      <w:hyperlink r:id="rId7" w:history="1">
        <w:r>
          <w:rPr>
            <w:rStyle w:val="MdLink"/>
          </w:rPr>
          <w:t>https://irrc.education.uiowa.edu/blog/2023/03/scope-and-sequence-what-it-and-how-do-educators-use-it-guide-instruction</w:t>
        </w:r>
      </w:hyperlink>
      <w:r>
        <w:t xml:space="preserve"> [4] Maneuvering the Middle. "How to Create a Unit Plan." </w:t>
      </w:r>
      <w:hyperlink r:id="rId8" w:history="1">
        <w:r>
          <w:rPr>
            <w:rStyle w:val="MdLink"/>
          </w:rPr>
          <w:t>https://www.maneuveringthemiddle.com/how-to-create-a-unit-plan/</w:t>
        </w:r>
      </w:hyperlink>
      <w:r>
        <w:t xml:space="preserve"> [5] Credits for Teachers. "Aligning Lessons with Standards and Learning Objectives." </w:t>
      </w:r>
      <w:hyperlink r:id="rId9" w:history="1">
        <w:r>
          <w:rPr>
            <w:rStyle w:val="MdLink"/>
          </w:rPr>
          <w:t>https://creditsforteachers.com/aligning-lessons-with-standards-and-learning-objectives-a-comprehensive-approach-to-effective-teaching/</w:t>
        </w:r>
      </w:hyperlink>
      <w:r>
        <w:t xml:space="preserve"> [6] EL Education. "Crafting and Using Learning Targets." </w:t>
      </w:r>
      <w:hyperlink r:id="rId10" w:history="1">
        <w:r>
          <w:rPr>
            <w:rStyle w:val="MdLink"/>
          </w:rPr>
          <w:t>https://www.eleducation.org/core-practices/student-engaged-assessment/crafting-and-using-learning-targets/</w:t>
        </w:r>
      </w:hyperlink>
      <w:r>
        <w:t xml:space="preserve"> [7] Edutopia. "Exit Tickets: Checking for Understanding." </w:t>
      </w:r>
      <w:hyperlink r:id="rId11" w:history="1">
        <w:r>
          <w:rPr>
            <w:rStyle w:val="MdLink"/>
          </w:rPr>
          <w:t>https://www.edutopia.org/practice/exit-tickets-checking-understanding</w:t>
        </w:r>
      </w:hyperlink>
      <w:r>
        <w:t xml:space="preserve"> [8] ASCD. "Understanding by Design Framework White Paper." </w:t>
      </w:r>
      <w:hyperlink r:id="rId12" w:history="1">
        <w:r>
          <w:rPr>
            <w:rStyle w:val="MdLink"/>
          </w:rPr>
          <w:t>https://files.ascd.org/staticfiles/ascd/pdf/siteASCD/publications/UbD_WhitePaper0312.pdf</w:t>
        </w:r>
      </w:hyperlink>
      <w:r>
        <w:t xml:space="preserve"> [9] CAST. "Universal Design for Learning." </w:t>
      </w:r>
      <w:hyperlink r:id="rId13" w:history="1">
        <w:r>
          <w:rPr>
            <w:rStyle w:val="MdLink"/>
          </w:rPr>
          <w:t>https://www.cast.org/what-we-do/universal-design-for-learning/</w:t>
        </w:r>
      </w:hyperlink>
    </w:p>
    <w:sectPr w:rsidR="00105DC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E1BED"/>
    <w:multiLevelType w:val="hybridMultilevel"/>
    <w:tmpl w:val="20E43024"/>
    <w:lvl w:ilvl="0" w:tplc="530EA0DC">
      <w:start w:val="1"/>
      <w:numFmt w:val="bullet"/>
      <w:lvlText w:val="●"/>
      <w:lvlJc w:val="left"/>
      <w:pPr>
        <w:ind w:left="720" w:hanging="360"/>
      </w:pPr>
    </w:lvl>
    <w:lvl w:ilvl="1" w:tplc="90D6F5B0">
      <w:start w:val="1"/>
      <w:numFmt w:val="bullet"/>
      <w:lvlText w:val="○"/>
      <w:lvlJc w:val="left"/>
      <w:pPr>
        <w:ind w:left="1440" w:hanging="360"/>
      </w:pPr>
    </w:lvl>
    <w:lvl w:ilvl="2" w:tplc="29EE0AD0">
      <w:start w:val="1"/>
      <w:numFmt w:val="bullet"/>
      <w:lvlText w:val="■"/>
      <w:lvlJc w:val="left"/>
      <w:pPr>
        <w:ind w:left="2160" w:hanging="360"/>
      </w:pPr>
    </w:lvl>
    <w:lvl w:ilvl="3" w:tplc="3E6E8A04">
      <w:start w:val="1"/>
      <w:numFmt w:val="bullet"/>
      <w:lvlText w:val="●"/>
      <w:lvlJc w:val="left"/>
      <w:pPr>
        <w:ind w:left="2880" w:hanging="360"/>
      </w:pPr>
    </w:lvl>
    <w:lvl w:ilvl="4" w:tplc="615C9544">
      <w:start w:val="1"/>
      <w:numFmt w:val="bullet"/>
      <w:lvlText w:val="○"/>
      <w:lvlJc w:val="left"/>
      <w:pPr>
        <w:ind w:left="3600" w:hanging="360"/>
      </w:pPr>
    </w:lvl>
    <w:lvl w:ilvl="5" w:tplc="E96C70D4">
      <w:start w:val="1"/>
      <w:numFmt w:val="bullet"/>
      <w:lvlText w:val="■"/>
      <w:lvlJc w:val="left"/>
      <w:pPr>
        <w:ind w:left="4320" w:hanging="360"/>
      </w:pPr>
    </w:lvl>
    <w:lvl w:ilvl="6" w:tplc="01185994">
      <w:start w:val="1"/>
      <w:numFmt w:val="bullet"/>
      <w:lvlText w:val="●"/>
      <w:lvlJc w:val="left"/>
      <w:pPr>
        <w:ind w:left="5040" w:hanging="360"/>
      </w:pPr>
    </w:lvl>
    <w:lvl w:ilvl="7" w:tplc="F2C88E2A">
      <w:start w:val="1"/>
      <w:numFmt w:val="bullet"/>
      <w:lvlText w:val="●"/>
      <w:lvlJc w:val="left"/>
      <w:pPr>
        <w:ind w:left="5760" w:hanging="360"/>
      </w:pPr>
    </w:lvl>
    <w:lvl w:ilvl="8" w:tplc="4E1603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4968F6"/>
    <w:multiLevelType w:val="hybridMultilevel"/>
    <w:tmpl w:val="D3BA171A"/>
    <w:lvl w:ilvl="0" w:tplc="9E4E81F4">
      <w:start w:val="1"/>
      <w:numFmt w:val="bullet"/>
      <w:lvlText w:val="•"/>
      <w:lvlJc w:val="left"/>
      <w:pPr>
        <w:ind w:left="720" w:hanging="360"/>
      </w:pPr>
    </w:lvl>
    <w:lvl w:ilvl="1" w:tplc="08EA4D56">
      <w:start w:val="1"/>
      <w:numFmt w:val="bullet"/>
      <w:lvlText w:val="◦"/>
      <w:lvlJc w:val="left"/>
      <w:pPr>
        <w:ind w:left="1440" w:hanging="360"/>
      </w:pPr>
    </w:lvl>
    <w:lvl w:ilvl="2" w:tplc="3C0AB570">
      <w:start w:val="1"/>
      <w:numFmt w:val="bullet"/>
      <w:lvlText w:val="•"/>
      <w:lvlJc w:val="left"/>
      <w:pPr>
        <w:ind w:left="2160" w:hanging="360"/>
      </w:pPr>
    </w:lvl>
    <w:lvl w:ilvl="3" w:tplc="FE22F060">
      <w:start w:val="1"/>
      <w:numFmt w:val="bullet"/>
      <w:lvlText w:val="◦"/>
      <w:lvlJc w:val="left"/>
      <w:pPr>
        <w:ind w:left="2880" w:hanging="360"/>
      </w:pPr>
    </w:lvl>
    <w:lvl w:ilvl="4" w:tplc="57140864">
      <w:start w:val="1"/>
      <w:numFmt w:val="bullet"/>
      <w:lvlText w:val="•"/>
      <w:lvlJc w:val="left"/>
      <w:pPr>
        <w:ind w:left="3600" w:hanging="360"/>
      </w:pPr>
    </w:lvl>
    <w:lvl w:ilvl="5" w:tplc="51F82D2A">
      <w:start w:val="1"/>
      <w:numFmt w:val="bullet"/>
      <w:lvlText w:val="◦"/>
      <w:lvlJc w:val="left"/>
      <w:pPr>
        <w:ind w:left="4320" w:hanging="360"/>
      </w:pPr>
    </w:lvl>
    <w:lvl w:ilvl="6" w:tplc="256866EE">
      <w:start w:val="1"/>
      <w:numFmt w:val="bullet"/>
      <w:lvlText w:val="•"/>
      <w:lvlJc w:val="left"/>
      <w:pPr>
        <w:ind w:left="5040" w:hanging="360"/>
      </w:pPr>
    </w:lvl>
    <w:lvl w:ilvl="7" w:tplc="4552D26E">
      <w:numFmt w:val="decimal"/>
      <w:lvlText w:val=""/>
      <w:lvlJc w:val="left"/>
    </w:lvl>
    <w:lvl w:ilvl="8" w:tplc="4F56FB82">
      <w:numFmt w:val="decimal"/>
      <w:lvlText w:val=""/>
      <w:lvlJc w:val="left"/>
    </w:lvl>
  </w:abstractNum>
  <w:abstractNum w:abstractNumId="2" w15:restartNumberingAfterBreak="0">
    <w:nsid w:val="46C07C6A"/>
    <w:multiLevelType w:val="multilevel"/>
    <w:tmpl w:val="F8C40EE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004358333">
    <w:abstractNumId w:val="0"/>
    <w:lvlOverride w:ilvl="0">
      <w:startOverride w:val="1"/>
    </w:lvlOverride>
  </w:num>
  <w:num w:numId="2" w16cid:durableId="1136946767">
    <w:abstractNumId w:val="1"/>
    <w:lvlOverride w:ilvl="0">
      <w:startOverride w:val="1"/>
    </w:lvlOverride>
  </w:num>
  <w:num w:numId="3" w16cid:durableId="6417336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DCE"/>
    <w:rsid w:val="00105DCE"/>
    <w:rsid w:val="003237ED"/>
    <w:rsid w:val="00D3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E463"/>
  <w15:docId w15:val="{F89407BF-9EA6-4466-911D-8CC65616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euveringthemiddle.com/how-to-create-a-unit-plan/" TargetMode="External"/><Relationship Id="rId13" Type="http://schemas.openxmlformats.org/officeDocument/2006/relationships/hyperlink" Target="https://www.cast.org/what-we-do/universal-design-for-learn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rrc.education.uiowa.edu/blog/2023/03/scope-and-sequence-what-it-and-how-do-educators-use-it-guide-instruction" TargetMode="External"/><Relationship Id="rId12" Type="http://schemas.openxmlformats.org/officeDocument/2006/relationships/hyperlink" Target="https://files.ascd.org/staticfiles/ascd/pdf/siteASCD/publications/UbD_WhitePaper031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i.study/design-considerations-for-creating-engaging-learning-content-for-kids/" TargetMode="External"/><Relationship Id="rId11" Type="http://schemas.openxmlformats.org/officeDocument/2006/relationships/hyperlink" Target="https://www.edutopia.org/practice/exit-tickets-checking-understanding" TargetMode="External"/><Relationship Id="rId5" Type="http://schemas.openxmlformats.org/officeDocument/2006/relationships/hyperlink" Target="https://elearningindustry.com/pedagogy-vs-andragogy-in-elearning-can-you-tell-the-differenc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eleducation.org/core-practices/student-engaged-assessment/crafting-and-using-learning-targe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editsforteachers.com/aligning-lessons-with-standards-and-learning-objectives-a-comprehensive-approach-to-effective-teachi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1834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Kev Zoma</cp:lastModifiedBy>
  <cp:revision>2</cp:revision>
  <dcterms:created xsi:type="dcterms:W3CDTF">2026-03-19T16:04:00Z</dcterms:created>
  <dcterms:modified xsi:type="dcterms:W3CDTF">2026-03-19T16:07:00Z</dcterms:modified>
</cp:coreProperties>
</file>