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eLearning Interactions: K-12 vs. Corporate Design</w:t>
      </w:r>
    </w:p>
    <w:p>
      <w:pPr>
        <w:pStyle w:val="MdParagraph"/>
      </w:pPr>
      <w:r>
        <w:rPr>
          <w:rStyle w:val="MdStrong"/>
          <w:b/>
          <w:bCs/>
        </w:rPr>
        <w:t xml:space="preserve">A Comparative Analysis of Digital Interactivity</w:t>
      </w:r>
    </w:p>
    <w:p>
      <w:pPr>
        <w:pStyle w:val="MdSpace"/>
        <w:spacing w:before="0" w:after="60"/>
      </w:pPr>
    </w:p>
    <w:p>
      <w:pPr>
        <w:pStyle w:val="MdParagraph"/>
      </w:pPr>
      <w:r>
        <w:t xml:space="preserve">While the underlying mechanics of eLearning interactions—such as drag-and-drops, hotspots, and click-to-reveals—are technically identical across platforms, their pedagogical application differs drastically depending on the audience. In corporate instructional design, interactions are primarily used to assess knowledge, simulate workplace tasks, or organize dense information. In K-12 education, interactions serve a much broader purpose: they are essential tools for maintaining attention, scaffolding cognitive development, and fostering exploration.</w:t>
      </w:r>
    </w:p>
    <w:p>
      <w:pPr>
        <w:pStyle w:val="MdSpace"/>
        <w:spacing w:before="0" w:after="60"/>
      </w:pPr>
    </w:p>
    <w:p>
      <w:pPr>
        <w:pStyle w:val="MdParagraph"/>
      </w:pPr>
      <w:r>
        <w:t xml:space="preserve">This document explores how common eLearning interactions are adapted for K-12 learners compared to corporate professionals, and what unique interactive elements are required for K-12 platforms.</w:t>
      </w:r>
    </w:p>
    <w:p>
      <w:pPr>
        <w:pStyle w:val="MdSpace"/>
        <w:spacing w:before="0" w:after="60"/>
      </w:pPr>
    </w:p>
    <w:p>
      <w:pPr>
        <w:pStyle w:val="Heading2"/>
        <w:pStyle w:val="MdHeading2"/>
      </w:pPr>
      <w:r>
        <w:t xml:space="preserve">The Cognitive Divide: Why Interactions Differ</w:t>
      </w:r>
    </w:p>
    <w:p>
      <w:pPr>
        <w:pStyle w:val="MdParagraph"/>
      </w:pPr>
      <w:r>
        <w:t xml:space="preserve">The differences in interaction design stem directly from the cognitive and developmental differences between adults and children [1].</w:t>
      </w:r>
    </w:p>
    <w:p>
      <w:pPr>
        <w:pStyle w:val="MdSpace"/>
        <w:spacing w:before="0" w:after="60"/>
      </w:pPr>
    </w:p>
    <w:p>
      <w:pPr>
        <w:pStyle w:val="MdListItem"/>
        <w:numPr>
          <w:ilvl w:val="0"/>
          <w:numId w:val="2"/>
        </w:numPr>
      </w:pPr>
      <w:r>
        <w:rPr>
          <w:rStyle w:val="MdStrong"/>
          <w:b/>
          <w:bCs/>
        </w:rPr>
        <w:t xml:space="preserve">Attention Span and Cognitive Load:</w:t>
      </w:r>
      <w:r>
        <w:t xml:space="preserve"> Adult learners can generally sustain attention through longer, more complex modules, provided the content is relevant to their goals [2]. Children, particularly in elementary and middle school, have significantly shorter attention spans and lower working memory capacities. Consequently, K-12 eLearning relies heavily on "micro-interactions"—frequent, low-stakes activities designed to reset attention and prevent cognitive overload [3].</w:t>
      </w:r>
    </w:p>
    <w:p>
      <w:pPr>
        <w:pStyle w:val="MdListItem"/>
        <w:numPr>
          <w:ilvl w:val="0"/>
          <w:numId w:val="2"/>
        </w:numPr>
      </w:pPr>
      <w:r>
        <w:rPr>
          <w:rStyle w:val="MdStrong"/>
          <w:b/>
          <w:bCs/>
        </w:rPr>
        <w:t xml:space="preserve">Motivation:</w:t>
      </w:r>
      <w:r>
        <w:t xml:space="preserve"> Adults are intrinsically motivated by career advancement or problem-solving. Children are largely extrinsically motivated. Therefore, K-12 interactions must be inherently engaging, often relying on gamification, bright visuals, and immediate feedback to sustain interest [1].</w:t>
      </w:r>
    </w:p>
    <w:p>
      <w:pPr>
        <w:pStyle w:val="MdListItem"/>
        <w:numPr>
          <w:ilvl w:val="0"/>
          <w:numId w:val="2"/>
        </w:numPr>
      </w:pPr>
      <w:r>
        <w:rPr>
          <w:rStyle w:val="MdStrong"/>
          <w:b/>
          <w:bCs/>
        </w:rPr>
        <w:t xml:space="preserve">Motor Skills:</w:t>
      </w:r>
      <w:r>
        <w:t xml:space="preserve"> For early learners (ages 4-8), fine motor skills are still developing. While an adult can easily navigate nested menus or small click targets, young children require larger interaction zones and simpler gestures (like tapping or broad swiping) [4].</w:t>
      </w:r>
    </w:p>
    <w:p>
      <w:pPr>
        <w:pStyle w:val="MdSpace"/>
        <w:spacing w:before="0" w:after="60"/>
      </w:pPr>
    </w:p>
    <w:p>
      <w:pPr>
        <w:pStyle w:val="Heading2"/>
        <w:pStyle w:val="MdHeading2"/>
      </w:pPr>
      <w:r>
        <w:t xml:space="preserve">Adapting Standard Interactions for K-12</w:t>
      </w:r>
    </w:p>
    <w:p>
      <w:pPr>
        <w:pStyle w:val="MdParagraph"/>
      </w:pPr>
      <w:r>
        <w:t xml:space="preserve">Common corporate interactions like drag-and-drops and hotspots are widely used in K-12, but their design and purpose shift significantly.</w:t>
      </w:r>
    </w:p>
    <w:p>
      <w:pPr>
        <w:pStyle w:val="MdSpace"/>
        <w:spacing w:before="0" w:after="60"/>
      </w:pPr>
    </w:p>
    <w:p>
      <w:pPr>
        <w:pStyle w:val="Heading3"/>
        <w:pStyle w:val="MdHeading3"/>
      </w:pPr>
      <w:r>
        <w:t xml:space="preserve">1. Drag-and-Drop Activities</w:t>
      </w:r>
    </w:p>
    <w:p>
      <w:pPr>
        <w:pStyle w:val="MdListItem"/>
        <w:numPr>
          <w:ilvl w:val="0"/>
          <w:numId w:val="3"/>
        </w:numPr>
      </w:pPr>
      <w:r>
        <w:rPr>
          <w:rStyle w:val="MdStrong"/>
          <w:b/>
          <w:bCs/>
        </w:rPr>
        <w:t xml:space="preserve">Corporate Use:</w:t>
      </w:r>
      <w:r>
        <w:t xml:space="preserve"> Often used for process ordering (e.g., "Drag the steps of the sales cycle into the correct order") or matching terms to definitions. The focus is on accuracy and assessing comprehension.</w:t>
      </w:r>
    </w:p>
    <w:p>
      <w:pPr>
        <w:pStyle w:val="MdListItem"/>
        <w:numPr>
          <w:ilvl w:val="0"/>
          <w:numId w:val="3"/>
        </w:numPr>
      </w:pPr>
      <w:r>
        <w:rPr>
          <w:rStyle w:val="MdStrong"/>
          <w:b/>
          <w:bCs/>
        </w:rPr>
        <w:t xml:space="preserve">K-12 Use:</w:t>
      </w:r>
      <w:r>
        <w:t xml:space="preserve"> Drag-and-drop is a foundational interaction for younger students, heavily utilized for </w:t>
      </w:r>
      <w:r>
        <w:rPr>
          <w:rStyle w:val="MdStrong"/>
          <w:b/>
          <w:bCs/>
        </w:rPr>
        <w:t xml:space="preserve">sorting, categorizing, and pattern recognition</w:t>
      </w:r>
      <w:r>
        <w:t xml:space="preserve"> [5]. For example, an elementary student might drag images of animals into "mammal" and "reptile" buckets. The interaction is less about assessment and more about active, hands-on learning [5]. K-12 drag-and-drops also require larger target areas and more forgiving "snap-to" functionality to accommodate developing motor skills.</w:t>
      </w:r>
    </w:p>
    <w:p>
      <w:pPr>
        <w:pStyle w:val="MdSpace"/>
        <w:spacing w:before="0" w:after="60"/>
      </w:pPr>
    </w:p>
    <w:p>
      <w:pPr>
        <w:pStyle w:val="Heading3"/>
        <w:pStyle w:val="MdHeading3"/>
      </w:pPr>
      <w:r>
        <w:t xml:space="preserve">2. Hotspots (Click to Reveal)</w:t>
      </w:r>
    </w:p>
    <w:p>
      <w:pPr>
        <w:pStyle w:val="MdListItem"/>
        <w:numPr>
          <w:ilvl w:val="0"/>
          <w:numId w:val="3"/>
        </w:numPr>
      </w:pPr>
      <w:r>
        <w:rPr>
          <w:rStyle w:val="MdStrong"/>
          <w:b/>
          <w:bCs/>
        </w:rPr>
        <w:t xml:space="preserve">Corporate Use:</w:t>
      </w:r>
      <w:r>
        <w:t xml:space="preserve"> Used to declutter screens and organize dense information. An adult learner might click hotspots on a software screenshot to read detailed tooltips about each feature.</w:t>
      </w:r>
    </w:p>
    <w:p>
      <w:pPr>
        <w:pStyle w:val="MdListItem"/>
        <w:numPr>
          <w:ilvl w:val="0"/>
          <w:numId w:val="3"/>
        </w:numPr>
      </w:pPr>
      <w:r>
        <w:rPr>
          <w:rStyle w:val="MdStrong"/>
          <w:b/>
          <w:bCs/>
        </w:rPr>
        <w:t xml:space="preserve">K-12 Use:</w:t>
      </w:r>
      <w:r>
        <w:t xml:space="preserve"> Hotspots are used for </w:t>
      </w:r>
      <w:r>
        <w:rPr>
          <w:rStyle w:val="MdStrong"/>
          <w:b/>
          <w:bCs/>
        </w:rPr>
        <w:t xml:space="preserve">exploration and discovery</w:t>
      </w:r>
      <w:r>
        <w:t xml:space="preserve">. Instead of reading dense text, a student might click hotspots on a diagram of the solar system to trigger short audio clips, animations, or fun facts [5]. The goal is to encourage curiosity rather than simply hiding text.</w:t>
      </w:r>
    </w:p>
    <w:p>
      <w:pPr>
        <w:pStyle w:val="MdSpace"/>
        <w:spacing w:before="0" w:after="60"/>
      </w:pPr>
    </w:p>
    <w:p>
      <w:pPr>
        <w:pStyle w:val="Heading3"/>
        <w:pStyle w:val="MdHeading3"/>
      </w:pPr>
      <w:r>
        <w:t xml:space="preserve">3. Accordions and Tabs</w:t>
      </w:r>
    </w:p>
    <w:p>
      <w:pPr>
        <w:pStyle w:val="MdListItem"/>
        <w:numPr>
          <w:ilvl w:val="0"/>
          <w:numId w:val="3"/>
        </w:numPr>
      </w:pPr>
      <w:r>
        <w:rPr>
          <w:rStyle w:val="MdStrong"/>
          <w:b/>
          <w:bCs/>
        </w:rPr>
        <w:t xml:space="preserve">Corporate Use:</w:t>
      </w:r>
      <w:r>
        <w:t xml:space="preserve"> Highly common in corporate ID to chunk heavy text and allow learners to control the pace of their reading.</w:t>
      </w:r>
    </w:p>
    <w:p>
      <w:pPr>
        <w:pStyle w:val="MdListItem"/>
        <w:numPr>
          <w:ilvl w:val="0"/>
          <w:numId w:val="3"/>
        </w:numPr>
      </w:pPr>
      <w:r>
        <w:rPr>
          <w:rStyle w:val="MdStrong"/>
          <w:b/>
          <w:bCs/>
        </w:rPr>
        <w:t xml:space="preserve">K-12 Use:</w:t>
      </w:r>
      <w:r>
        <w:t xml:space="preserve"> Rarely used in early elementary eLearning, as young children may lack the reading stamina or navigational intuition to click through text-heavy accordions. In middle and high school, they are used sparingly, often incorporating images or icons rather than just text labels.</w:t>
      </w:r>
    </w:p>
    <w:p>
      <w:pPr>
        <w:pStyle w:val="MdSpace"/>
        <w:spacing w:before="0" w:after="60"/>
      </w:pPr>
    </w:p>
    <w:p>
      <w:pPr>
        <w:pStyle w:val="Heading3"/>
        <w:pStyle w:val="MdHeading3"/>
      </w:pPr>
      <w:r>
        <w:t xml:space="preserve">4. Flashcards</w:t>
      </w:r>
    </w:p>
    <w:p>
      <w:pPr>
        <w:pStyle w:val="MdListItem"/>
        <w:numPr>
          <w:ilvl w:val="0"/>
          <w:numId w:val="3"/>
        </w:numPr>
      </w:pPr>
      <w:r>
        <w:rPr>
          <w:rStyle w:val="MdStrong"/>
          <w:b/>
          <w:bCs/>
        </w:rPr>
        <w:t xml:space="preserve">Corporate Use:</w:t>
      </w:r>
      <w:r>
        <w:t xml:space="preserve"> Used for rote memorization of compliance terms, product specs, or foreign languages.</w:t>
      </w:r>
    </w:p>
    <w:p>
      <w:pPr>
        <w:pStyle w:val="MdListItem"/>
        <w:numPr>
          <w:ilvl w:val="0"/>
          <w:numId w:val="3"/>
        </w:numPr>
      </w:pPr>
      <w:r>
        <w:rPr>
          <w:rStyle w:val="MdStrong"/>
          <w:b/>
          <w:bCs/>
        </w:rPr>
        <w:t xml:space="preserve">K-12 Use:</w:t>
      </w:r>
      <w:r>
        <w:t xml:space="preserve"> Flashcards are highly gamified. They often include audio pronunciation, visual cues, and "spaced repetition" algorithms to help students master sight words or math facts [5].</w:t>
      </w:r>
    </w:p>
    <w:p>
      <w:pPr>
        <w:pStyle w:val="MdSpace"/>
        <w:spacing w:before="0" w:after="60"/>
      </w:pPr>
    </w:p>
    <w:p>
      <w:pPr>
        <w:pStyle w:val="Heading2"/>
        <w:pStyle w:val="MdHeading2"/>
      </w:pPr>
      <w:r>
        <w:t xml:space="preserve">Unique K-12 Interaction Types</w:t>
      </w:r>
    </w:p>
    <w:p>
      <w:pPr>
        <w:pStyle w:val="MdParagraph"/>
      </w:pPr>
      <w:r>
        <w:t xml:space="preserve">Beyond adapting corporate interactions, K-12 eLearning platforms rely on several interaction types that are either rare or entirely absent in typical corporate training.</w:t>
      </w:r>
    </w:p>
    <w:p>
      <w:pPr>
        <w:pStyle w:val="MdSpace"/>
        <w:spacing w:before="0" w:after="60"/>
      </w:pPr>
    </w:p>
    <w:p>
      <w:pPr>
        <w:pStyle w:val="Heading3"/>
        <w:pStyle w:val="MdHeading3"/>
      </w:pPr>
      <w:r>
        <w:t xml:space="preserve">1. Virtual Labs and Simulations</w:t>
      </w:r>
    </w:p>
    <w:p>
      <w:pPr>
        <w:pStyle w:val="MdParagraph"/>
      </w:pPr>
      <w:r>
        <w:t xml:space="preserve">While corporate training uses "scenario-based learning" to simulate interpersonal workplace situations (e.g., handling an angry customer), K-12 STEM education relies heavily on </w:t>
      </w:r>
      <w:r>
        <w:rPr>
          <w:rStyle w:val="MdStrong"/>
          <w:b/>
          <w:bCs/>
        </w:rPr>
        <w:t xml:space="preserve">virtual laboratories</w:t>
      </w:r>
      <w:r>
        <w:t xml:space="preserve"> [5]. These interactive environments allow students to manipulate variables—such as adjusting the incline of a ramp to test gravity, or mixing digital chemicals—to see real-time, cause-and-effect results [5]. Platforms like PhET Interactive Simulations are staples in K-12 design.</w:t>
      </w:r>
    </w:p>
    <w:p>
      <w:pPr>
        <w:pStyle w:val="MdSpace"/>
        <w:spacing w:before="0" w:after="60"/>
      </w:pPr>
    </w:p>
    <w:p>
      <w:pPr>
        <w:pStyle w:val="Heading3"/>
        <w:pStyle w:val="MdHeading3"/>
      </w:pPr>
      <w:r>
        <w:t xml:space="preserve">2. Storytelling and Animated Characters</w:t>
      </w:r>
    </w:p>
    <w:p>
      <w:pPr>
        <w:pStyle w:val="MdParagraph"/>
      </w:pPr>
      <w:r>
        <w:t xml:space="preserve">Corporate eLearning generally avoids animated mascots, favoring realistic scenarios or professional avatars. In K-12 (especially K-5), </w:t>
      </w:r>
      <w:r>
        <w:rPr>
          <w:rStyle w:val="MdStrong"/>
          <w:b/>
          <w:bCs/>
        </w:rPr>
        <w:t xml:space="preserve">narrative-driven interactions</w:t>
      </w:r>
      <w:r>
        <w:t xml:space="preserve"> are crucial [6]. A course might be guided by an animated character who asks questions, provides hints, and celebrates successes. Students interact with the content </w:t>
      </w:r>
      <w:r>
        <w:rPr>
          <w:rStyle w:val="MdEm"/>
          <w:i/>
          <w:iCs/>
        </w:rPr>
        <w:t xml:space="preserve">through</w:t>
      </w:r>
      <w:r>
        <w:t xml:space="preserve"> the narrative, helping the character solve a problem rather than just answering a quiz question [6].</w:t>
      </w:r>
    </w:p>
    <w:p>
      <w:pPr>
        <w:pStyle w:val="MdSpace"/>
        <w:spacing w:before="0" w:after="60"/>
      </w:pPr>
    </w:p>
    <w:p>
      <w:pPr>
        <w:pStyle w:val="Heading3"/>
        <w:pStyle w:val="MdHeading3"/>
      </w:pPr>
      <w:r>
        <w:t xml:space="preserve">3. Gamification Mechanics</w:t>
      </w:r>
    </w:p>
    <w:p>
      <w:pPr>
        <w:pStyle w:val="MdParagraph"/>
      </w:pPr>
      <w:r>
        <w:t xml:space="preserve">While corporate eLearning might use a simple leaderboard or badge system, K-12 eLearning integrates deep gamification. Interactions are tied to game mechanics such as [7]:</w:t>
      </w:r>
    </w:p>
    <w:p>
      <w:pPr>
        <w:pStyle w:val="MdListItem"/>
        <w:numPr>
          <w:ilvl w:val="0"/>
          <w:numId w:val="3"/>
        </w:numPr>
      </w:pPr>
      <w:r>
        <w:rPr>
          <w:rStyle w:val="MdStrong"/>
          <w:b/>
          <w:bCs/>
        </w:rPr>
        <w:t xml:space="preserve">Earning currency</w:t>
      </w:r>
      <w:r>
        <w:t xml:space="preserve"> to customize digital avatars.</w:t>
      </w:r>
    </w:p>
    <w:p>
      <w:pPr>
        <w:pStyle w:val="MdListItem"/>
        <w:numPr>
          <w:ilvl w:val="0"/>
          <w:numId w:val="3"/>
        </w:numPr>
      </w:pPr>
      <w:r>
        <w:rPr>
          <w:rStyle w:val="MdStrong"/>
          <w:b/>
          <w:bCs/>
        </w:rPr>
        <w:t xml:space="preserve">Unlocking levels</w:t>
      </w:r>
      <w:r>
        <w:t xml:space="preserve"> or new mini-games upon mastering a concept.</w:t>
      </w:r>
    </w:p>
    <w:p>
      <w:pPr>
        <w:pStyle w:val="MdListItem"/>
        <w:numPr>
          <w:ilvl w:val="0"/>
          <w:numId w:val="3"/>
        </w:numPr>
      </w:pPr>
      <w:r>
        <w:rPr>
          <w:rStyle w:val="MdStrong"/>
          <w:b/>
          <w:bCs/>
        </w:rPr>
        <w:t xml:space="preserve">Health points or "lives"</w:t>
      </w:r>
      <w:r>
        <w:t xml:space="preserve"> that allow students a safe space to fail and try again.</w:t>
      </w:r>
    </w:p>
    <w:p>
      <w:pPr>
        <w:pStyle w:val="MdSpace"/>
        <w:spacing w:before="0" w:after="60"/>
      </w:pPr>
    </w:p>
    <w:p>
      <w:pPr>
        <w:pStyle w:val="Heading3"/>
        <w:pStyle w:val="MdHeading3"/>
      </w:pPr>
      <w:r>
        <w:t xml:space="preserve">4. Collaborative and Social Interactions</w:t>
      </w:r>
    </w:p>
    <w:p>
      <w:pPr>
        <w:pStyle w:val="MdParagraph"/>
      </w:pPr>
      <w:r>
        <w:t xml:space="preserve">Corporate eLearning is usually an isolated, asynchronous experience. K-12 eLearning, particularly post-pandemic, emphasizes peer-to-peer interaction [8]. Platforms integrate digital whiteboards (like Jamboard), shared coding environments (like Scratch), or interactive discussion boards where students can collaborate, peer-review, and solve problems together in real-time [8].</w:t>
      </w:r>
    </w:p>
    <w:p>
      <w:pPr>
        <w:pStyle w:val="MdSpace"/>
        <w:spacing w:before="0" w:after="60"/>
      </w:pPr>
    </w:p>
    <w:p>
      <w:pPr>
        <w:pStyle w:val="Heading2"/>
        <w:pStyle w:val="MdHeading2"/>
      </w:pPr>
      <w:r>
        <w:t xml:space="preserve">Summary Comparison of Interactions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Interaction Type</w:t>
            </w:r>
          </w:p>
        </w:tc>
        <w:tc>
          <w:tcPr>
            <w:tcMar>
              <w:top w:type="dxa" w:w="100"/>
              <w:left w:type="dxa" w:w="120"/>
              <w:bottom w:type="dxa" w:w="100"/>
              <w:right w:type="dxa" w:w="120"/>
            </w:tcMar>
            <w:vAlign w:val="center"/>
          </w:tcPr>
          <w:p>
            <w:pPr>
              <w:pStyle w:val="MdTableHeader"/>
              <w:jc w:val="left"/>
            </w:pPr>
            <w:r>
              <w:t xml:space="preserve">Corporate ID Application</w:t>
            </w:r>
          </w:p>
        </w:tc>
        <w:tc>
          <w:tcPr>
            <w:tcBorders>
              <w:right w:val="none"/>
            </w:tcBorders>
            <w:tcMar>
              <w:top w:type="dxa" w:w="100"/>
              <w:left w:type="dxa" w:w="120"/>
              <w:bottom w:type="dxa" w:w="100"/>
              <w:right w:type="dxa" w:w="120"/>
            </w:tcMar>
            <w:vAlign w:val="center"/>
          </w:tcPr>
          <w:p>
            <w:pPr>
              <w:pStyle w:val="MdTableHeader"/>
              <w:jc w:val="left"/>
            </w:pPr>
            <w:r>
              <w:t xml:space="preserve">K-12 Pedagogical Application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Drag and Drop</w:t>
            </w:r>
          </w:p>
        </w:tc>
        <w:tc>
          <w:tcPr>
            <w:tcMar>
              <w:top w:type="dxa" w:w="80"/>
              <w:left w:type="dxa" w:w="120"/>
              <w:bottom w:type="dxa" w:w="80"/>
              <w:right w:type="dxa" w:w="120"/>
            </w:tcMar>
            <w:vAlign w:val="center"/>
          </w:tcPr>
          <w:p>
            <w:pPr>
              <w:pStyle w:val="MdTableCell"/>
              <w:jc w:val="left"/>
            </w:pPr>
            <w:r>
              <w:t xml:space="preserve">Process ordering, matching terms</w:t>
            </w:r>
          </w:p>
        </w:tc>
        <w:tc>
          <w:tcPr>
            <w:tcBorders>
              <w:right w:val="none"/>
            </w:tcBorders>
            <w:tcMar>
              <w:top w:type="dxa" w:w="80"/>
              <w:left w:type="dxa" w:w="120"/>
              <w:bottom w:type="dxa" w:w="80"/>
              <w:right w:type="dxa" w:w="120"/>
            </w:tcMar>
            <w:vAlign w:val="center"/>
          </w:tcPr>
          <w:p>
            <w:pPr>
              <w:pStyle w:val="MdTableCell"/>
              <w:jc w:val="left"/>
            </w:pPr>
            <w:r>
              <w:t xml:space="preserve">Sorting, categorizing, pattern recognition; requires larger drop zones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Hotspots</w:t>
            </w:r>
          </w:p>
        </w:tc>
        <w:tc>
          <w:tcPr>
            <w:tcMar>
              <w:top w:type="dxa" w:w="80"/>
              <w:left w:type="dxa" w:w="120"/>
              <w:bottom w:type="dxa" w:w="80"/>
              <w:right w:type="dxa" w:w="120"/>
            </w:tcMar>
            <w:vAlign w:val="center"/>
          </w:tcPr>
          <w:p>
            <w:pPr>
              <w:pStyle w:val="MdTableCell"/>
              <w:jc w:val="left"/>
            </w:pPr>
            <w:r>
              <w:t xml:space="preserve">Decluttering screens, software tooltips</w:t>
            </w:r>
          </w:p>
        </w:tc>
        <w:tc>
          <w:tcPr>
            <w:tcBorders>
              <w:right w:val="none"/>
            </w:tcBorders>
            <w:tcMar>
              <w:top w:type="dxa" w:w="80"/>
              <w:left w:type="dxa" w:w="120"/>
              <w:bottom w:type="dxa" w:w="80"/>
              <w:right w:type="dxa" w:w="120"/>
            </w:tcMar>
            <w:vAlign w:val="center"/>
          </w:tcPr>
          <w:p>
            <w:pPr>
              <w:pStyle w:val="MdTableCell"/>
              <w:jc w:val="left"/>
            </w:pPr>
            <w:r>
              <w:t xml:space="preserve">Exploration, discovery, triggering audio/animations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Accordions/Tabs</w:t>
            </w:r>
          </w:p>
        </w:tc>
        <w:tc>
          <w:tcPr>
            <w:tcMar>
              <w:top w:type="dxa" w:w="80"/>
              <w:left w:type="dxa" w:w="120"/>
              <w:bottom w:type="dxa" w:w="80"/>
              <w:right w:type="dxa" w:w="120"/>
            </w:tcMar>
            <w:vAlign w:val="center"/>
          </w:tcPr>
          <w:p>
            <w:pPr>
              <w:pStyle w:val="MdTableCell"/>
              <w:jc w:val="left"/>
            </w:pPr>
            <w:r>
              <w:t xml:space="preserve">Text chunking, learner-paced reading</w:t>
            </w:r>
          </w:p>
        </w:tc>
        <w:tc>
          <w:tcPr>
            <w:tcBorders>
              <w:right w:val="none"/>
            </w:tcBorders>
            <w:tcMar>
              <w:top w:type="dxa" w:w="80"/>
              <w:left w:type="dxa" w:w="120"/>
              <w:bottom w:type="dxa" w:w="80"/>
              <w:right w:type="dxa" w:w="120"/>
            </w:tcMar>
            <w:vAlign w:val="center"/>
          </w:tcPr>
          <w:p>
            <w:pPr>
              <w:pStyle w:val="MdTableCell"/>
              <w:jc w:val="left"/>
            </w:pPr>
            <w:r>
              <w:t xml:space="preserve">Used sparingly; often replaced by visual menus or avoided for young learners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Flashcards</w:t>
            </w:r>
          </w:p>
        </w:tc>
        <w:tc>
          <w:tcPr>
            <w:tcMar>
              <w:top w:type="dxa" w:w="80"/>
              <w:left w:type="dxa" w:w="120"/>
              <w:bottom w:type="dxa" w:w="80"/>
              <w:right w:type="dxa" w:w="120"/>
            </w:tcMar>
            <w:vAlign w:val="center"/>
          </w:tcPr>
          <w:p>
            <w:pPr>
              <w:pStyle w:val="MdTableCell"/>
              <w:jc w:val="left"/>
            </w:pPr>
            <w:r>
              <w:t xml:space="preserve">Rote memorization of terms/specs</w:t>
            </w:r>
          </w:p>
        </w:tc>
        <w:tc>
          <w:tcPr>
            <w:tcBorders>
              <w:right w:val="none"/>
            </w:tcBorders>
            <w:tcMar>
              <w:top w:type="dxa" w:w="80"/>
              <w:left w:type="dxa" w:w="120"/>
              <w:bottom w:type="dxa" w:w="80"/>
              <w:right w:type="dxa" w:w="120"/>
            </w:tcMar>
            <w:vAlign w:val="center"/>
          </w:tcPr>
          <w:p>
            <w:pPr>
              <w:pStyle w:val="MdTableCell"/>
              <w:jc w:val="left"/>
            </w:pPr>
            <w:r>
              <w:t xml:space="preserve">Gamified sight-word/math fact practice with audio cues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Simulations</w:t>
            </w:r>
          </w:p>
        </w:tc>
        <w:tc>
          <w:tcPr>
            <w:tcMar>
              <w:top w:type="dxa" w:w="80"/>
              <w:left w:type="dxa" w:w="120"/>
              <w:bottom w:type="dxa" w:w="80"/>
              <w:right w:type="dxa" w:w="120"/>
            </w:tcMar>
            <w:vAlign w:val="center"/>
          </w:tcPr>
          <w:p>
            <w:pPr>
              <w:pStyle w:val="MdTableCell"/>
              <w:jc w:val="left"/>
            </w:pPr>
            <w:r>
              <w:t xml:space="preserve">Interpersonal scenario branching (soft skills)</w:t>
            </w:r>
          </w:p>
        </w:tc>
        <w:tc>
          <w:tcPr>
            <w:tcBorders>
              <w:right w:val="none"/>
            </w:tcBorders>
            <w:tcMar>
              <w:top w:type="dxa" w:w="80"/>
              <w:left w:type="dxa" w:w="120"/>
              <w:bottom w:type="dxa" w:w="80"/>
              <w:right w:type="dxa" w:w="120"/>
            </w:tcMar>
            <w:vAlign w:val="center"/>
          </w:tcPr>
          <w:p>
            <w:pPr>
              <w:pStyle w:val="MdTableCell"/>
              <w:jc w:val="left"/>
            </w:pPr>
            <w:r>
              <w:t xml:space="preserve">Virtual STEM labs, manipulating physics/chemistry variables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Gamification</w:t>
            </w:r>
          </w:p>
        </w:tc>
        <w:tc>
          <w:tcPr>
            <w:tcMar>
              <w:top w:type="dxa" w:w="80"/>
              <w:left w:type="dxa" w:w="120"/>
              <w:bottom w:type="dxa" w:w="80"/>
              <w:right w:type="dxa" w:w="120"/>
            </w:tcMar>
            <w:vAlign w:val="center"/>
          </w:tcPr>
          <w:p>
            <w:pPr>
              <w:pStyle w:val="MdTableCell"/>
              <w:jc w:val="left"/>
            </w:pPr>
            <w:r>
              <w:t xml:space="preserve">Basic badges, completion certificates</w:t>
            </w:r>
          </w:p>
        </w:tc>
        <w:tc>
          <w:tcPr>
            <w:tcBorders>
              <w:right w:val="none"/>
            </w:tcBorders>
            <w:tcMar>
              <w:top w:type="dxa" w:w="80"/>
              <w:left w:type="dxa" w:w="120"/>
              <w:bottom w:type="dxa" w:w="80"/>
              <w:right w:type="dxa" w:w="120"/>
            </w:tcMar>
            <w:vAlign w:val="center"/>
          </w:tcPr>
          <w:p>
            <w:pPr>
              <w:pStyle w:val="MdTableCell"/>
              <w:jc w:val="left"/>
            </w:pPr>
            <w:r>
              <w:t xml:space="preserve">Avatar customization, leveling up, in-game currency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Social/Peer</w:t>
            </w:r>
          </w:p>
        </w:tc>
        <w:tc>
          <w:tcPr>
            <w:tcBorders>
              <w:bottom w:val="single" w:color="E1E4E8" w:sz="4"/>
            </w:tcBorders>
            <w:tcMar>
              <w:top w:type="dxa" w:w="80"/>
              <w:left w:type="dxa" w:w="120"/>
              <w:bottom w:type="dxa" w:w="80"/>
              <w:right w:type="dxa" w:w="120"/>
            </w:tcMar>
            <w:vAlign w:val="center"/>
          </w:tcPr>
          <w:p>
            <w:pPr>
              <w:pStyle w:val="MdTableCell"/>
              <w:jc w:val="left"/>
            </w:pPr>
            <w:r>
              <w:t xml:space="preserve">Rare; mostly isolated learning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Highly integrated; shared whiteboards, peer review, collaborative projects</w:t>
            </w:r>
          </w:p>
        </w:tc>
      </w:tr>
    </w:tbl>
    <w:p>
      <w:pPr>
        <w:pStyle w:val="Heading2"/>
        <w:pStyle w:val="MdHeading2"/>
      </w:pPr>
      <w:r>
        <w:t xml:space="preserve">Conclusion for Platform Developers</w:t>
      </w:r>
    </w:p>
    <w:p>
      <w:pPr>
        <w:pStyle w:val="MdParagraph"/>
      </w:pPr>
      <w:r>
        <w:t xml:space="preserve">When building an eLearning platform to serve both audiences, developers must ensure that the authoring tools are flexible enough to support both paradigms. A drag-and-drop tool, for instance, must allow a corporate ID to create a strict, graded process-ordering activity, while simultaneously allowing a kindergarten teacher to create a forgiving, visually rich, ungraded sorting game with audio feedback. Furthermore, incorporating features like virtual lab templates, avatar systems, and collaborative workspaces will be essential for capturing the K-12 market.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eLearning Industry. "Is eLearning For Adults That Much Different From eLearning For Children?" </w:t>
      </w:r>
      <w:hyperlink w:history="1" r:id="rIdz4os77td66dwee7qapn_d">
        <w:r>
          <w:rPr>
            <w:rStyle w:val="MdLink"/>
          </w:rPr>
          <w:t xml:space="preserve">https://elearningindustry.com/is-elearning-for-adults-that-much-different-from-elearning-for-children</w:t>
        </w:r>
      </w:hyperlink>
      <w:r>
        <w:t xml:space="preserve">
[2] SHIFT eLearning. "Levels of Interactivity in eLearning: Which one do you need?" </w:t>
      </w:r>
      <w:hyperlink w:history="1" r:id="rIdfe5okgtbjj6tnazbju3tk">
        <w:r>
          <w:rPr>
            <w:rStyle w:val="MdLink"/>
          </w:rPr>
          <w:t xml:space="preserve">https://www.shiftelearning.com/blog/bid/190140/Levels-of-Interactivity-in-eLearning-Which-one-do-you-need</w:t>
        </w:r>
      </w:hyperlink>
      <w:r>
        <w:t xml:space="preserve">
[3] eLearning Industry. "Corporate Vs. Educational eLearning: What’s The Big Difference?" </w:t>
      </w:r>
      <w:hyperlink w:history="1" r:id="rIdeuqwtnwleritk5ezhlzfo">
        <w:r>
          <w:rPr>
            <w:rStyle w:val="MdLink"/>
          </w:rPr>
          <w:t xml:space="preserve">https://elearningindustry.com/corporate-vs-educational-elearning-big-difference</w:t>
        </w:r>
      </w:hyperlink>
      <w:r>
        <w:t xml:space="preserve">
[4] Educational Initiatives. "Design considerations for creating engaging learning content for kids." </w:t>
      </w:r>
      <w:hyperlink w:history="1" r:id="rIdsnrsse_uom2swqb3q5_gi">
        <w:r>
          <w:rPr>
            <w:rStyle w:val="MdLink"/>
          </w:rPr>
          <w:t xml:space="preserve">https://ei.study/design-considerations-for-creating-engaging-learning-content-for-kids/</w:t>
        </w:r>
      </w:hyperlink>
      <w:r>
        <w:t xml:space="preserve">
[5] Mitr Media. "Designing Interactive eLearning Content for STEM Education in K-12 Schools." </w:t>
      </w:r>
      <w:hyperlink w:history="1" r:id="rIdovsejw91oztlxvfbl96mf">
        <w:r>
          <w:rPr>
            <w:rStyle w:val="MdLink"/>
          </w:rPr>
          <w:t xml:space="preserve">https://www.mitrmedia.com/resources/blogs/designing-interactive-elearning-content-for-stem-education-in-k-12-schools/</w:t>
        </w:r>
      </w:hyperlink>
      <w:r>
        <w:t xml:space="preserve">
[6] Mitr Media. "Understanding the K12 Learner: Creating Age-Appropriate STEM Content." </w:t>
      </w:r>
      <w:hyperlink w:history="1" r:id="rId1mep_03w1nzxhunoab9q7">
        <w:r>
          <w:rPr>
            <w:rStyle w:val="MdLink"/>
          </w:rPr>
          <w:t xml:space="preserve">https://www.mitrmedia.com/resources/blogs/understanding-the-k12-learner-creating-age-appropriate-stem-content/</w:t>
        </w:r>
      </w:hyperlink>
      <w:r>
        <w:t xml:space="preserve">
[7] A Pass Education. "Gamification for Learning: 6 Strategies for K-12 Publishers." </w:t>
      </w:r>
      <w:hyperlink w:history="1" r:id="rId07xg_ztpyoq1_anprijyk">
        <w:r>
          <w:rPr>
            <w:rStyle w:val="MdLink"/>
          </w:rPr>
          <w:t xml:space="preserve">https://apasseducation.com/education-blog/gamification-for-learning-6-strategies-for-k-12-publishers/</w:t>
        </w:r>
      </w:hyperlink>
      <w:r>
        <w:t xml:space="preserve">
[8] Eduwik. "Social learning apps for K‑12 collaboration." </w:t>
      </w:r>
      <w:hyperlink w:history="1" r:id="rIdnvu62qp-853nhu0sekqtl">
        <w:r>
          <w:rPr>
            <w:rStyle w:val="MdLink"/>
          </w:rPr>
          <w:t xml:space="preserve">https://eduwik.com/social-learning-apps-for-k%E2%80%9112-collaboration/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4os77td66dwee7qapn_d" Type="http://schemas.openxmlformats.org/officeDocument/2006/relationships/hyperlink" Target="https://elearningindustry.com/is-elearning-for-adults-that-much-different-from-elearning-for-children" TargetMode="External"/><Relationship Id="rIdfe5okgtbjj6tnazbju3tk" Type="http://schemas.openxmlformats.org/officeDocument/2006/relationships/hyperlink" Target="https://www.shiftelearning.com/blog/bid/190140/Levels-of-Interactivity-in-eLearning-Which-one-do-you-need" TargetMode="External"/><Relationship Id="rIdeuqwtnwleritk5ezhlzfo" Type="http://schemas.openxmlformats.org/officeDocument/2006/relationships/hyperlink" Target="https://elearningindustry.com/corporate-vs-educational-elearning-big-difference" TargetMode="External"/><Relationship Id="rIdsnrsse_uom2swqb3q5_gi" Type="http://schemas.openxmlformats.org/officeDocument/2006/relationships/hyperlink" Target="https://ei.study/design-considerations-for-creating-engaging-learning-content-for-kids/" TargetMode="External"/><Relationship Id="rIdovsejw91oztlxvfbl96mf" Type="http://schemas.openxmlformats.org/officeDocument/2006/relationships/hyperlink" Target="https://www.mitrmedia.com/resources/blogs/designing-interactive-elearning-content-for-stem-education-in-k-12-schools/" TargetMode="External"/><Relationship Id="rId1mep_03w1nzxhunoab9q7" Type="http://schemas.openxmlformats.org/officeDocument/2006/relationships/hyperlink" Target="https://www.mitrmedia.com/resources/blogs/understanding-the-k12-learner-creating-age-appropriate-stem-content/" TargetMode="External"/><Relationship Id="rId07xg_ztpyoq1_anprijyk" Type="http://schemas.openxmlformats.org/officeDocument/2006/relationships/hyperlink" Target="https://apasseducation.com/education-blog/gamification-for-learning-6-strategies-for-k-12-publishers/" TargetMode="External"/><Relationship Id="rIdnvu62qp-853nhu0sekqtl" Type="http://schemas.openxmlformats.org/officeDocument/2006/relationships/hyperlink" Target="https://eduwik.com/social-learning-apps-for-k%E2%80%9112-collaboration/"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2026-03-19T16:36:04.407Z</dcterms:created>
  <dcterms:modified xsi:type="dcterms:W3CDTF">2026-03-19T16:36:04.407Z</dcterms:modified>
</cp:coreProperties>
</file>

<file path=docProps/custom.xml><?xml version="1.0" encoding="utf-8"?>
<Properties xmlns="http://schemas.openxmlformats.org/officeDocument/2006/custom-properties" xmlns:vt="http://schemas.openxmlformats.org/officeDocument/2006/docPropsVTypes"/>
</file>