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Game Show &amp; Game-Based Interaction Templates for eLearning: A Developer's Reference</w:t>
      </w:r>
    </w:p>
    <w:p>
      <w:pPr>
        <w:pStyle w:val="MdParagraph"/>
      </w:pPr>
      <w:r>
        <w:rPr>
          <w:rStyle w:val="MdStrong"/>
          <w:b/>
          <w:bCs/>
        </w:rPr>
        <w:t xml:space="preserve">Prepared for:</w:t>
      </w:r>
      <w:r>
        <w:t xml:space="preserve"> eLearning Course Builder Platform Development
</w:t>
      </w:r>
      <w:r>
        <w:rPr>
          <w:rStyle w:val="MdStrong"/>
          <w:b/>
          <w:bCs/>
        </w:rPr>
        <w:t xml:space="preserve">Purpose:</w:t>
      </w:r>
      <w:r>
        <w:t xml:space="preserve"> Research reference for implementing game-based interaction templates, differentiated for Corporate Training and Education (K-12) audiences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Overview</w:t>
      </w:r>
    </w:p>
    <w:p>
      <w:pPr>
        <w:pStyle w:val="MdParagraph"/>
      </w:pPr>
      <w:r>
        <w:t xml:space="preserve">Integrating game show templates into an eLearning course builder represents one of the highest-impact enhancements possible for learner engagement. While standard knowledge checks and quizzes serve a functional assessment purpose, game-based interactions transform that assessment into an active, competitive, and emotionally engaging experience. Research consistently shows that gamified learning can increase engagement by up to 90% and improve knowledge retention by 75%, because games activate multiple learning pathways simultaneously, creating stronger neural connections.</w:t>
      </w:r>
    </w:p>
    <w:p>
      <w:pPr>
        <w:pStyle w:val="MdSpace"/>
        <w:spacing w:before="0" w:after="60"/>
      </w:pPr>
    </w:p>
    <w:p>
      <w:pPr>
        <w:pStyle w:val="MdParagraph"/>
      </w:pPr>
      <w:r>
        <w:t xml:space="preserve">The critical insight for your platform is that game templates are not simply cosmetic wrappers around quiz questions. Each template imposes a distinct </w:t>
      </w:r>
      <w:r>
        <w:rPr>
          <w:rStyle w:val="MdStrong"/>
          <w:b/>
          <w:bCs/>
        </w:rPr>
        <w:t xml:space="preserve">cognitive structure</w:t>
      </w:r>
      <w:r>
        <w:t xml:space="preserve"> — the rules, risk/reward mechanics, and feedback loops — that fundamentally changes how a learner processes and retrieves information. This document catalogs the most viable templates, explains their mechanics, differentiates their use across Corporate and K-12 audiences, and provides technical implementation notes for your development team.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1: Jeopardy-Style Knowledge Board</w:t>
      </w:r>
    </w:p>
    <w:p>
      <w:pPr>
        <w:pStyle w:val="MdParagraph"/>
      </w:pPr>
      <w:r>
        <w:t xml:space="preserve">The Jeopardy format is the most widely adopted game show template in eLearning, used by platforms such as The Training Arcade, Articulate Storyline, and numerous custom implementations. Its enduring popularity stems from its flexibility, its alignment with Bloom's Taxonomy, and the non-linear freedom it gives learners to choose their own challenge level.</w:t>
      </w:r>
    </w:p>
    <w:p>
      <w:pPr>
        <w:pStyle w:val="MdSpace"/>
        <w:spacing w:before="0" w:after="60"/>
      </w:pPr>
    </w:p>
    <w:p>
      <w:pPr>
        <w:pStyle w:val="Heading3"/>
        <w:pStyle w:val="MdHeading3"/>
      </w:pPr>
      <w:r>
        <w:t xml:space="preserve">Mechanics</w:t>
      </w:r>
    </w:p>
    <w:p>
      <w:pPr>
        <w:pStyle w:val="MdParagraph"/>
      </w:pPr>
      <w:r>
        <w:t xml:space="preserve">The game features a grid-based board with multiple categories as column headers and increasing point values as rows (e.g., 100, 200, 300, 400, 500). Players select a category and point value, which reveals a question or "clue." Answering correctly awards the points; answering incorrectly may deduct points or simply award zero, depending on configuration. A </w:t>
      </w:r>
      <w:r>
        <w:rPr>
          <w:rStyle w:val="MdStrong"/>
          <w:b/>
          <w:bCs/>
        </w:rPr>
        <w:t xml:space="preserve">Daily Double</w:t>
      </w:r>
      <w:r>
        <w:t xml:space="preserve"> mechanic allows a player to wager any or all of their accumulated points on a single question. A full Jeopardy implementation includes a Jeopardy Round (5×5 grid), a Double Jeopardy Round (5×5 with doubled values), and a Final Jeopardy clue where all players wager before seeing the question.</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the Jeopardy format is most commonly used for team-based review sessions (e.g., facilitated live over Zoom or Microsoft Teams) or as a standalone post-training knowledge check. The categories should reflect real-world workplace scenarios rather than abstract subject headings — for example, "Handling Customer Escalations" rather than "Customer Service." The difficulty progression maps naturally to Bloom's Taxonomy: 100-point questions should test basic recall and comprehension, while 400- and 500-point questions should require application, analysis, or evaluation. The format is also effective as a pre-training assessment to surface knowledge gaps before instruction begins.</w:t>
      </w:r>
    </w:p>
    <w:p>
      <w:pPr>
        <w:pStyle w:val="MdSpace"/>
        <w:spacing w:before="0" w:after="60"/>
      </w:pPr>
    </w:p>
    <w:p>
      <w:pPr>
        <w:pStyle w:val="MdParagraph"/>
      </w:pPr>
      <w:r>
        <w:t xml:space="preserve">In </w:t>
      </w:r>
      <w:r>
        <w:rPr>
          <w:rStyle w:val="MdStrong"/>
          <w:b/>
          <w:bCs/>
        </w:rPr>
        <w:t xml:space="preserve">Education (K-12)</w:t>
      </w:r>
      <w:r>
        <w:t xml:space="preserve">, Jeopardy is a classroom-tested staple for unit reviews before an exam. The interface must be visually engaging and age-appropriate, with animated reveals, sound effects, and clear visual feedback. For younger learners (K-3), it is strongly recommended to disable the point-deduction penalty for incorrect answers, as the fear of losing points can discourage participation. For older students (grades 4-12), the penalty mechanic adds strategic depth and mirrors the real show's stakes. The categories should be curriculum-aligned, and the AI should be capable of generating clues at the appropriate Lexile reading level for the target grade band.</w:t>
      </w:r>
    </w:p>
    <w:p>
      <w:pPr>
        <w:pStyle w:val="MdSpace"/>
        <w:spacing w:before="0" w:after="60"/>
      </w:pPr>
    </w:p>
    <w:p>
      <w:pPr>
        <w:pStyle w:val="Heading3"/>
        <w:pStyle w:val="MdHeading3"/>
      </w:pPr>
      <w:r>
        <w:t xml:space="preserve">Technical Implementation Notes</w:t>
      </w:r>
    </w:p>
    <w:p>
      <w:pPr>
        <w:pStyle w:val="MdParagraph"/>
      </w:pPr>
      <w:r>
        <w:t xml:space="preserve">The core data structure is an array of category objects, each containing an array of question objects with </w:t>
      </w:r>
      <w:r>
        <w:rPr>
          <w:rStyle w:val="MdCode"/>
          <w:u w:val="single"/>
        </w:rPr>
        <w:t xml:space="preserve">pointValue</w:t>
      </w:r>
      <w:r>
        <w:t xml:space="preserve">, </w:t>
      </w:r>
      <w:r>
        <w:rPr>
          <w:rStyle w:val="MdCode"/>
          <w:u w:val="single"/>
        </w:rPr>
        <w:t xml:space="preserve">questionText</w:t>
      </w:r>
      <w:r>
        <w:t xml:space="preserve">, </w:t>
      </w:r>
      <w:r>
        <w:rPr>
          <w:rStyle w:val="MdCode"/>
          <w:u w:val="single"/>
        </w:rPr>
        <w:t xml:space="preserve">answerOptions</w:t>
      </w:r>
      <w:r>
        <w:t xml:space="preserve">, </w:t>
      </w:r>
      <w:r>
        <w:rPr>
          <w:rStyle w:val="MdCode"/>
          <w:u w:val="single"/>
        </w:rPr>
        <w:t xml:space="preserve">correctAnswer</w:t>
      </w:r>
      <w:r>
        <w:t xml:space="preserve">, </w:t>
      </w:r>
      <w:r>
        <w:rPr>
          <w:rStyle w:val="MdCode"/>
          <w:u w:val="single"/>
        </w:rPr>
        <w:t xml:space="preserve">isDailyDouble</w:t>
      </w:r>
      <w:r>
        <w:t xml:space="preserve">, and an optional </w:t>
      </w:r>
      <w:r>
        <w:rPr>
          <w:rStyle w:val="MdCode"/>
          <w:u w:val="single"/>
        </w:rPr>
        <w:t xml:space="preserve">hint</w:t>
      </w:r>
      <w:r>
        <w:t xml:space="preserve"> field. The board UI is best implemented as a CSS Grid with cells that toggle between "available," "active," and "answered" states. State management must track which cells have been answered, the current score for each player, and the active question. For multiplayer functionality, a real-time communication layer (Socket.IO is the most common choice) is required to synchronize board state across participants. An AI integration (such as GPT-4) can be used to judge free-text answers for correctness, accounting for spelling variations and partial matches.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2: Who Wants to Be a Millionaire (Progressive Difficulty with Lifelines)</w:t>
      </w:r>
    </w:p>
    <w:p>
      <w:pPr>
        <w:pStyle w:val="MdParagraph"/>
      </w:pPr>
      <w:r>
        <w:t xml:space="preserve">This template is defined by its linear, high-stakes progression and the strategic "Lifeline" mechanics that give learners a sense of agency when they are uncertain. It is particularly effective for building confidence through scaffolded difficulty.</w:t>
      </w:r>
    </w:p>
    <w:p>
      <w:pPr>
        <w:pStyle w:val="MdSpace"/>
        <w:spacing w:before="0" w:after="60"/>
      </w:pPr>
    </w:p>
    <w:p>
      <w:pPr>
        <w:pStyle w:val="Heading3"/>
        <w:pStyle w:val="MdHeading3"/>
      </w:pPr>
      <w:r>
        <w:t xml:space="preserve">Mechanics</w:t>
      </w:r>
    </w:p>
    <w:p>
      <w:pPr>
        <w:pStyle w:val="MdParagraph"/>
      </w:pPr>
      <w:r>
        <w:t xml:space="preserve">The player faces a sequence of 10 to 15 multiple-choice questions. The point value or virtual currency reward increases exponentially with each correct answer, often following a structure with "safe haven" milestones (e.g., questions 5 and 10) where the player's accumulated score is locked in. An incorrect answer ends the game and drops the player back to the last safe haven. The defining mechanic is the three </w:t>
      </w:r>
      <w:r>
        <w:rPr>
          <w:rStyle w:val="MdStrong"/>
          <w:b/>
          <w:bCs/>
        </w:rPr>
        <w:t xml:space="preserve">Lifelines</w:t>
      </w:r>
      <w:r>
        <w:t xml:space="preserve">: </w:t>
      </w:r>
      <w:r>
        <w:rPr>
          <w:rStyle w:val="MdStrong"/>
          <w:b/>
          <w:bCs/>
        </w:rPr>
        <w:t xml:space="preserve">50:50</w:t>
      </w:r>
      <w:r>
        <w:t xml:space="preserve"> (the system eliminates two incorrect options, leaving one correct and one incorrect), </w:t>
      </w:r>
      <w:r>
        <w:rPr>
          <w:rStyle w:val="MdStrong"/>
          <w:b/>
          <w:bCs/>
        </w:rPr>
        <w:t xml:space="preserve">Phone a Friend</w:t>
      </w:r>
      <w:r>
        <w:t xml:space="preserve"> (a hint or reference resource is revealed), and </w:t>
      </w:r>
      <w:r>
        <w:rPr>
          <w:rStyle w:val="MdStrong"/>
          <w:b/>
          <w:bCs/>
        </w:rPr>
        <w:t xml:space="preserve">Ask the Audience</w:t>
      </w:r>
      <w:r>
        <w:t xml:space="preserve"> (a poll-style visualization shows how previous learners answered the question).</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this template is excellent for compliance training, regulatory knowledge, or technical certification preparation where accuracy is paramount and there are real-world consequences for incorrect answers. The Lifelines can be adapted meaningfully: "Phone a Friend" can simulate "Consult the Policy Document" (revealing a relevant excerpt from the company handbook), and "Ask the Audience" can display anonymized aggregate data showing how other employees in the same role answered the question — which itself becomes a learning moment about common misconceptions.</w:t>
      </w:r>
    </w:p>
    <w:p>
      <w:pPr>
        <w:pStyle w:val="MdSpace"/>
        <w:spacing w:before="0" w:after="60"/>
      </w:pPr>
    </w:p>
    <w:p>
      <w:pPr>
        <w:pStyle w:val="MdParagraph"/>
      </w:pPr>
      <w:r>
        <w:t xml:space="preserve">In </w:t>
      </w:r>
      <w:r>
        <w:rPr>
          <w:rStyle w:val="MdStrong"/>
          <w:b/>
          <w:bCs/>
        </w:rPr>
        <w:t xml:space="preserve">Education (K-12)</w:t>
      </w:r>
      <w:r>
        <w:t xml:space="preserve">, the progressive difficulty is ideal for scaffolding. Early questions build confidence and activate prior knowledge, while later questions challenge mastery. The "currency" earned can be integrated into the platform's broader gamification economy, such as earning coins to unlock avatar accessories or class-wide rewards. The suspense mechanics (dramatic music, slow reveal of the correct answer) are highly effective for younger learners and create memorable emotional anchors for the content.</w:t>
      </w:r>
    </w:p>
    <w:p>
      <w:pPr>
        <w:pStyle w:val="MdSpace"/>
        <w:spacing w:before="0" w:after="60"/>
      </w:pPr>
    </w:p>
    <w:p>
      <w:pPr>
        <w:pStyle w:val="Heading3"/>
        <w:pStyle w:val="MdHeading3"/>
      </w:pPr>
      <w:r>
        <w:t xml:space="preserve">Technical Implementation Notes</w:t>
      </w:r>
    </w:p>
    <w:p>
      <w:pPr>
        <w:pStyle w:val="MdParagraph"/>
      </w:pPr>
      <w:r>
        <w:t xml:space="preserve">State management must track the current question index, the accumulated score, the active milestone checkpoint, and the boolean state of each lifeline (used or unused). The 50:50 logic requires an algorithm that randomly selects two incorrect options from the current question's answer array and hides them from the UI without altering the underlying data. The "Ask the Audience" feature requires either pre-authored distribution data or a live aggregation of how users in the same course session have answered the question. The milestone "safe haven" logic requires a secondary score variable that only updates when the player reaches a checkpoint question.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3: Family Feud (Survey-Based Ranked Answers)</w:t>
      </w:r>
    </w:p>
    <w:p>
      <w:pPr>
        <w:pStyle w:val="MdParagraph"/>
      </w:pPr>
      <w:r>
        <w:t xml:space="preserve">Family Feud is fundamentally different from the other templates because it does not have a single objectively correct answer. Instead, players must identify the most popular or most important answers to an open-ended prompt. This makes it uniquely suited for topics where understanding the landscape of a subject matters more than memorizing a single fact.</w:t>
      </w:r>
    </w:p>
    <w:p>
      <w:pPr>
        <w:pStyle w:val="MdSpace"/>
        <w:spacing w:before="0" w:after="60"/>
      </w:pPr>
    </w:p>
    <w:p>
      <w:pPr>
        <w:pStyle w:val="Heading3"/>
        <w:pStyle w:val="MdHeading3"/>
      </w:pPr>
      <w:r>
        <w:t xml:space="preserve">Mechanics</w:t>
      </w:r>
    </w:p>
    <w:p>
      <w:pPr>
        <w:pStyle w:val="MdParagraph"/>
      </w:pPr>
      <w:r>
        <w:t xml:space="preserve">Players are presented with a prompt (e.g., "Name a common reason an employee might miss a deadline"). A board displays a set of hidden answer slots, ranked by importance or frequency. Players type or select their guesses. Correct guesses reveal the corresponding answer and award points based on its rank. Incorrect guesses result in a "strike." Three strikes end the round. In team-play mode, two teams alternate guessing, and the team that reveals the most answers wins the round's total points.</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Family Feud is a particularly powerful tool for sales training, customer service, leadership development, and soft skills. The "survey" data powering the game should be grounded in real company intelligence — for example, the top five reasons customers churn, the most common compliance violations, or the most frequent objections a sales team encounters. This grounds the game in organizational reality and makes the learning immediately applicable. It is also an excellent icebreaker or team-building activity at the start of a live training session.</w:t>
      </w:r>
    </w:p>
    <w:p>
      <w:pPr>
        <w:pStyle w:val="MdSpace"/>
        <w:spacing w:before="0" w:after="60"/>
      </w:pPr>
    </w:p>
    <w:p>
      <w:pPr>
        <w:pStyle w:val="MdParagraph"/>
      </w:pPr>
      <w:r>
        <w:t xml:space="preserve">In </w:t>
      </w:r>
      <w:r>
        <w:rPr>
          <w:rStyle w:val="MdStrong"/>
          <w:b/>
          <w:bCs/>
        </w:rPr>
        <w:t xml:space="preserve">Education (K-12)</w:t>
      </w:r>
      <w:r>
        <w:t xml:space="preserve">, this template is well-suited for brainstorming, vocabulary building, and categorization activities. For example, "Name an animal that lives in the Amazon rainforest" or "Name a word that means 'happy.'" It encourages divergent thinking, as students must consider multiple valid answers rather than converging on a single correct one. It is also effective for social studies and science topics where understanding the range of examples is as important as knowing the definitions.</w:t>
      </w:r>
    </w:p>
    <w:p>
      <w:pPr>
        <w:pStyle w:val="MdSpace"/>
        <w:spacing w:before="0" w:after="60"/>
      </w:pPr>
    </w:p>
    <w:p>
      <w:pPr>
        <w:pStyle w:val="Heading3"/>
        <w:pStyle w:val="MdHeading3"/>
      </w:pPr>
      <w:r>
        <w:t xml:space="preserve">Technical Implementation Notes</w:t>
      </w:r>
    </w:p>
    <w:p>
      <w:pPr>
        <w:pStyle w:val="MdParagraph"/>
      </w:pPr>
      <w:r>
        <w:t xml:space="preserve">This template is the most technically complex because it requires </w:t>
      </w:r>
      <w:r>
        <w:rPr>
          <w:rStyle w:val="MdStrong"/>
          <w:b/>
          <w:bCs/>
        </w:rPr>
        <w:t xml:space="preserve">text input and fuzzy matching</w:t>
      </w:r>
      <w:r>
        <w:t xml:space="preserve"> rather than simple multiple-choice selection. A fuzzy-matching algorithm (such as Levenshtein distance) or an LLM integration is required to judge whether a user's typed answer matches one of the hidden correct answers, accounting for typos, synonyms, and partial matches. The data structure for each prompt must include an array of accepted answers, each with a point value and an array of accepted synonyms or alternate phrasings. The team-play mechanic requires a shared session state and a turn-management system.</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4: Digital Escape Room (Puzzle-Based Sequential Unlocking)</w:t>
      </w:r>
    </w:p>
    <w:p>
      <w:pPr>
        <w:pStyle w:val="MdParagraph"/>
      </w:pPr>
      <w:r>
        <w:t xml:space="preserve">The Digital Escape Room is not a traditional TV game show format, but it is one of the most pedagogically rich and widely used game-based templates in modern eLearning. It is particularly effective for scenario-based learning, process training, and complex problem-solving.</w:t>
      </w:r>
    </w:p>
    <w:p>
      <w:pPr>
        <w:pStyle w:val="MdSpace"/>
        <w:spacing w:before="0" w:after="60"/>
      </w:pPr>
    </w:p>
    <w:p>
      <w:pPr>
        <w:pStyle w:val="Heading3"/>
        <w:pStyle w:val="MdHeading3"/>
      </w:pPr>
      <w:r>
        <w:t xml:space="preserve">Mechanics</w:t>
      </w:r>
    </w:p>
    <w:p>
      <w:pPr>
        <w:pStyle w:val="MdParagraph"/>
      </w:pPr>
      <w:r>
        <w:t xml:space="preserve">Players are placed within a narrative scenario (e.g., "You are a new cybersecurity analyst and a breach has just been detected"). To "escape" or complete the mission, they must solve a series of interconnected puzzles, answer knowledge questions, or find hidden clues within interactive images. Solving each puzzle provides a code, key, or artifact that unlocks the next section. Navigation is restricted — the learner cannot advance until they have met the condition for the current "lock." The sense of urgency is often heightened with an optional countdown timer.</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escape rooms are ideal for cybersecurity awareness, onboarding, compliance, and process training. The narrative frame transforms mandatory training into a mission. For example, an employee must correctly identify three phishing emails to "unlock the server room," or must answer questions about the company's return policy to "help a customer and close the case." The sequential, locked-navigation structure ensures that learners cannot skip critical content.</w:t>
      </w:r>
    </w:p>
    <w:p>
      <w:pPr>
        <w:pStyle w:val="MdSpace"/>
        <w:spacing w:before="0" w:after="60"/>
      </w:pPr>
    </w:p>
    <w:p>
      <w:pPr>
        <w:pStyle w:val="MdParagraph"/>
      </w:pPr>
      <w:r>
        <w:t xml:space="preserve">In </w:t>
      </w:r>
      <w:r>
        <w:rPr>
          <w:rStyle w:val="MdStrong"/>
          <w:b/>
          <w:bCs/>
        </w:rPr>
        <w:t xml:space="preserve">Education (K-12)</w:t>
      </w:r>
      <w:r>
        <w:t xml:space="preserve">, digital escape rooms are enormously popular and are facilitated by platforms such as Breakout EDU. They are highly narrative-driven and often incorporate cross-curricular skills — for example, solving a math problem to get a code that unlocks a history clue. They foster collaboration, critical thinking, and sustained engagement. The K-12 version typically has a more whimsical or adventurous narrative theme (e.g., "Help the explorer find the lost artifact") compared to the professional scenarios used in corporate settings.</w:t>
      </w:r>
    </w:p>
    <w:p>
      <w:pPr>
        <w:pStyle w:val="MdSpace"/>
        <w:spacing w:before="0" w:after="60"/>
      </w:pPr>
    </w:p>
    <w:p>
      <w:pPr>
        <w:pStyle w:val="Heading3"/>
        <w:pStyle w:val="MdHeading3"/>
      </w:pPr>
      <w:r>
        <w:t xml:space="preserve">Technical Implementation Notes</w:t>
      </w:r>
    </w:p>
    <w:p>
      <w:pPr>
        <w:pStyle w:val="MdParagraph"/>
      </w:pPr>
      <w:r>
        <w:t xml:space="preserve">The core mechanic requires a </w:t>
      </w:r>
      <w:r>
        <w:rPr>
          <w:rStyle w:val="MdStrong"/>
          <w:b/>
          <w:bCs/>
        </w:rPr>
        <w:t xml:space="preserve">gating system</w:t>
      </w:r>
      <w:r>
        <w:t xml:space="preserve"> where the "Next" or "Continue" button is disabled until a specific condition is met (the "lock" is opened). This is implemented as a conditional state check: </w:t>
      </w:r>
      <w:r>
        <w:rPr>
          <w:rStyle w:val="MdCode"/>
          <w:u w:val="single"/>
        </w:rPr>
        <w:t xml:space="preserve">if (lockCondition === true) { enableNavigation() }</w:t>
      </w:r>
      <w:r>
        <w:t xml:space="preserve">. The interaction types that power escape rooms are primarily Hotspots (finding hidden clues in an image), Text Input (entering a passcode), Drag-and-Drop (assembling a puzzle or sorting items), and Multiple Choice (answering a knowledge question to get a key). State management must track the locked/unlocked status of each gate within the course.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5: Spin the Wheel (Randomized Question Selector)</w:t>
      </w:r>
    </w:p>
    <w:p>
      <w:pPr>
        <w:pStyle w:val="MdParagraph"/>
      </w:pPr>
      <w:r>
        <w:t xml:space="preserve">Spin the Wheel is a lightweight, high-energy template that introduces randomness and excitement into knowledge checks. It is best used as a formative assessment tool or a warm-up activity rather than a comprehensive assessment.</w:t>
      </w:r>
    </w:p>
    <w:p>
      <w:pPr>
        <w:pStyle w:val="MdSpace"/>
        <w:spacing w:before="0" w:after="60"/>
      </w:pPr>
    </w:p>
    <w:p>
      <w:pPr>
        <w:pStyle w:val="Heading3"/>
        <w:pStyle w:val="MdHeading3"/>
      </w:pPr>
      <w:r>
        <w:t xml:space="preserve">Mechanics</w:t>
      </w:r>
    </w:p>
    <w:p>
      <w:pPr>
        <w:pStyle w:val="MdParagraph"/>
      </w:pPr>
      <w:r>
        <w:t xml:space="preserve">A visually animated wheel is divided into segments, each representing a category, question, or point value. The player spins the wheel, and it lands on a random segment. The corresponding question or challenge is then presented. Points are awarded for correct answers. The mechanic can be configured so that the wheel segments represent categories (and the question is then drawn from a pool for that category) or so that each segment is a specific question.</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Spin the Wheel works well as a microlearning refresher or a team warm-up at the start of a training session. It is low-stakes and energizing. The randomness prevents learners from strategically avoiding difficult topics, which is a limitation of the Jeopardy format.</w:t>
      </w:r>
    </w:p>
    <w:p>
      <w:pPr>
        <w:pStyle w:val="MdSpace"/>
        <w:spacing w:before="0" w:after="60"/>
      </w:pPr>
    </w:p>
    <w:p>
      <w:pPr>
        <w:pStyle w:val="MdParagraph"/>
      </w:pPr>
      <w:r>
        <w:t xml:space="preserve">In </w:t>
      </w:r>
      <w:r>
        <w:rPr>
          <w:rStyle w:val="MdStrong"/>
          <w:b/>
          <w:bCs/>
        </w:rPr>
        <w:t xml:space="preserve">Education (K-12)</w:t>
      </w:r>
      <w:r>
        <w:t xml:space="preserve">, Spin the Wheel is extremely popular across all grade levels. Teachers use it for everything from vocabulary review to math fact practice. The animation and randomness are inherently exciting for children, and the format works well for whole-class participation where the teacher spins the wheel and calls on a student to answer.</w:t>
      </w:r>
    </w:p>
    <w:p>
      <w:pPr>
        <w:pStyle w:val="MdSpace"/>
        <w:spacing w:before="0" w:after="60"/>
      </w:pPr>
    </w:p>
    <w:p>
      <w:pPr>
        <w:pStyle w:val="Heading3"/>
        <w:pStyle w:val="MdHeading3"/>
      </w:pPr>
      <w:r>
        <w:t xml:space="preserve">Technical Implementation Notes</w:t>
      </w:r>
    </w:p>
    <w:p>
      <w:pPr>
        <w:pStyle w:val="MdParagraph"/>
      </w:pPr>
      <w:r>
        <w:t xml:space="preserve">The wheel animation is typically implemented using CSS transforms (rotation) or the HTML5 Canvas API. The landing segment is determined by a random number generator that maps to a segment index, and the rotation animation is calculated to land on that segment. A deceleration easing function creates the realistic "slowing down" effect.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Template 6: Price Is Right (Estimation and Bidding)</w:t>
      </w:r>
    </w:p>
    <w:p>
      <w:pPr>
        <w:pStyle w:val="MdParagraph"/>
      </w:pPr>
      <w:r>
        <w:t xml:space="preserve">The Price Is Right format is unique because it tests </w:t>
      </w:r>
      <w:r>
        <w:rPr>
          <w:rStyle w:val="MdStrong"/>
          <w:b/>
          <w:bCs/>
        </w:rPr>
        <w:t xml:space="preserve">estimation and judgment</w:t>
      </w:r>
      <w:r>
        <w:t xml:space="preserve"> rather than factual recall. This makes it particularly valuable for topics where understanding magnitude, cost, or relative value is the learning objective.</w:t>
      </w:r>
    </w:p>
    <w:p>
      <w:pPr>
        <w:pStyle w:val="MdSpace"/>
        <w:spacing w:before="0" w:after="60"/>
      </w:pPr>
    </w:p>
    <w:p>
      <w:pPr>
        <w:pStyle w:val="Heading3"/>
        <w:pStyle w:val="MdHeading3"/>
      </w:pPr>
      <w:r>
        <w:t xml:space="preserve">Mechanics</w:t>
      </w:r>
    </w:p>
    <w:p>
      <w:pPr>
        <w:pStyle w:val="MdParagraph"/>
      </w:pPr>
      <w:r>
        <w:t xml:space="preserve">Players are shown an item, scenario, or data point and must estimate its value or cost. The player whose estimate is closest to the actual value without going over wins the round. Variations include a "Showcase Showdown" where players bid on a package of items, and various pricing mini-games that test different estimation strategies.</w:t>
      </w:r>
    </w:p>
    <w:p>
      <w:pPr>
        <w:pStyle w:val="MdSpace"/>
        <w:spacing w:before="0" w:after="60"/>
      </w:pPr>
    </w:p>
    <w:p>
      <w:pPr>
        <w:pStyle w:val="Heading3"/>
        <w:pStyle w:val="MdHeading3"/>
      </w:pPr>
      <w:r>
        <w:t xml:space="preserve">Audience Differentiation</w:t>
      </w:r>
    </w:p>
    <w:p>
      <w:pPr>
        <w:pStyle w:val="MdParagraph"/>
      </w:pPr>
      <w:r>
        <w:t xml:space="preserve">In </w:t>
      </w:r>
      <w:r>
        <w:rPr>
          <w:rStyle w:val="MdStrong"/>
          <w:b/>
          <w:bCs/>
        </w:rPr>
        <w:t xml:space="preserve">Corporate Training</w:t>
      </w:r>
      <w:r>
        <w:t xml:space="preserve">, this template is highly effective for budget management training, procurement, pricing strategy, and financial literacy. For example, "Estimate the cost of a data breach for a mid-sized company" or "Bid on the most cost-effective vendor proposal." It trains the intuition and judgment that are difficult to develop through traditional instruction.</w:t>
      </w:r>
    </w:p>
    <w:p>
      <w:pPr>
        <w:pStyle w:val="MdSpace"/>
        <w:spacing w:before="0" w:after="60"/>
      </w:pPr>
    </w:p>
    <w:p>
      <w:pPr>
        <w:pStyle w:val="MdParagraph"/>
      </w:pPr>
      <w:r>
        <w:t xml:space="preserve">In </w:t>
      </w:r>
      <w:r>
        <w:rPr>
          <w:rStyle w:val="MdStrong"/>
          <w:b/>
          <w:bCs/>
        </w:rPr>
        <w:t xml:space="preserve">Education (K-12)</w:t>
      </w:r>
      <w:r>
        <w:t xml:space="preserve">, this template is excellent for mathematics (estimation, number sense, place value), science (estimating measurements), and social studies (understanding economic concepts). It is particularly engaging for upper elementary and middle school students.</w:t>
      </w:r>
    </w:p>
    <w:p>
      <w:pPr>
        <w:pStyle w:val="MdSpace"/>
        <w:spacing w:before="0" w:after="60"/>
      </w:pPr>
    </w:p>
    <w:p>
      <w:pPr>
        <w:pStyle w:val="Heading3"/>
        <w:pStyle w:val="MdHeading3"/>
      </w:pPr>
      <w:r>
        <w:t xml:space="preserve">Technical Implementation Notes</w:t>
      </w:r>
    </w:p>
    <w:p>
      <w:pPr>
        <w:pStyle w:val="MdParagraph"/>
      </w:pPr>
      <w:r>
        <w:t xml:space="preserve">The core logic requires storing a correct value and a tolerance range. The scoring algorithm compares the player's input to the correct value and determines whether it falls within the "closest without going over" constraint. For the "Showcase" variant, multiple items must be summed and compared.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Comparative Summary</w:t>
      </w:r>
    </w:p>
    <w:p>
      <w:pPr>
        <w:pStyle w:val="MdParagraph"/>
      </w:pPr>
      <w:r>
        <w:t xml:space="preserve">The following table summarizes all six templates across the key dimensions relevant to your platform's design and AI generation logic.</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Template</w:t>
            </w:r>
          </w:p>
        </w:tc>
        <w:tc>
          <w:tcPr>
            <w:tcMar>
              <w:top w:type="dxa" w:w="100"/>
              <w:left w:type="dxa" w:w="120"/>
              <w:bottom w:type="dxa" w:w="100"/>
              <w:right w:type="dxa" w:w="120"/>
            </w:tcMar>
            <w:vAlign w:val="center"/>
          </w:tcPr>
          <w:p>
            <w:pPr>
              <w:pStyle w:val="MdTableHeader"/>
            </w:pPr>
            <w:r>
              <w:t xml:space="preserve">Primary Mechanic</w:t>
            </w:r>
          </w:p>
        </w:tc>
        <w:tc>
          <w:tcPr>
            <w:tcMar>
              <w:top w:type="dxa" w:w="100"/>
              <w:left w:type="dxa" w:w="120"/>
              <w:bottom w:type="dxa" w:w="100"/>
              <w:right w:type="dxa" w:w="120"/>
            </w:tcMar>
            <w:vAlign w:val="center"/>
          </w:tcPr>
          <w:p>
            <w:pPr>
              <w:pStyle w:val="MdTableHeader"/>
            </w:pPr>
            <w:r>
              <w:t xml:space="preserve">Best Corporate Use Case</w:t>
            </w:r>
          </w:p>
        </w:tc>
        <w:tc>
          <w:tcPr>
            <w:tcMar>
              <w:top w:type="dxa" w:w="100"/>
              <w:left w:type="dxa" w:w="120"/>
              <w:bottom w:type="dxa" w:w="100"/>
              <w:right w:type="dxa" w:w="120"/>
            </w:tcMar>
            <w:vAlign w:val="center"/>
          </w:tcPr>
          <w:p>
            <w:pPr>
              <w:pStyle w:val="MdTableHeader"/>
            </w:pPr>
            <w:r>
              <w:t xml:space="preserve">Best K-12 Use Case</w:t>
            </w:r>
          </w:p>
        </w:tc>
        <w:tc>
          <w:tcPr>
            <w:tcMar>
              <w:top w:type="dxa" w:w="100"/>
              <w:left w:type="dxa" w:w="120"/>
              <w:bottom w:type="dxa" w:w="100"/>
              <w:right w:type="dxa" w:w="120"/>
            </w:tcMar>
            <w:vAlign w:val="center"/>
          </w:tcPr>
          <w:p>
            <w:pPr>
              <w:pStyle w:val="MdTableHeader"/>
            </w:pPr>
            <w:r>
              <w:t xml:space="preserve">Difficulty to Build</w:t>
            </w:r>
          </w:p>
        </w:tc>
        <w:tc>
          <w:tcPr>
            <w:tcBorders>
              <w:right w:val="none"/>
            </w:tcBorders>
            <w:tcMar>
              <w:top w:type="dxa" w:w="100"/>
              <w:left w:type="dxa" w:w="120"/>
              <w:bottom w:type="dxa" w:w="100"/>
              <w:right w:type="dxa" w:w="120"/>
            </w:tcMar>
            <w:vAlign w:val="center"/>
          </w:tcPr>
          <w:p>
            <w:pPr>
              <w:pStyle w:val="MdTableHeader"/>
            </w:pPr>
            <w:r>
              <w:t xml:space="preserve">Multiplayer Support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Jeopardy</w:t>
            </w:r>
          </w:p>
        </w:tc>
        <w:tc>
          <w:tcPr>
            <w:tcMar>
              <w:top w:type="dxa" w:w="80"/>
              <w:left w:type="dxa" w:w="120"/>
              <w:bottom w:type="dxa" w:w="80"/>
              <w:right w:type="dxa" w:w="120"/>
            </w:tcMar>
            <w:vAlign w:val="center"/>
          </w:tcPr>
          <w:p>
            <w:pPr>
              <w:pStyle w:val="MdTableCell"/>
            </w:pPr>
            <w:r>
              <w:t xml:space="preserve">Grid selection, point accumulation</w:t>
            </w:r>
          </w:p>
        </w:tc>
        <w:tc>
          <w:tcPr>
            <w:tcMar>
              <w:top w:type="dxa" w:w="80"/>
              <w:left w:type="dxa" w:w="120"/>
              <w:bottom w:type="dxa" w:w="80"/>
              <w:right w:type="dxa" w:w="120"/>
            </w:tcMar>
            <w:vAlign w:val="center"/>
          </w:tcPr>
          <w:p>
            <w:pPr>
              <w:pStyle w:val="MdTableCell"/>
            </w:pPr>
            <w:r>
              <w:t xml:space="preserve">Post-training review, team competition</w:t>
            </w:r>
          </w:p>
        </w:tc>
        <w:tc>
          <w:tcPr>
            <w:tcMar>
              <w:top w:type="dxa" w:w="80"/>
              <w:left w:type="dxa" w:w="120"/>
              <w:bottom w:type="dxa" w:w="80"/>
              <w:right w:type="dxa" w:w="120"/>
            </w:tcMar>
            <w:vAlign w:val="center"/>
          </w:tcPr>
          <w:p>
            <w:pPr>
              <w:pStyle w:val="MdTableCell"/>
            </w:pPr>
            <w:r>
              <w:t xml:space="preserve">Unit exam review</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Yes (essential)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Millionaire</w:t>
            </w:r>
          </w:p>
        </w:tc>
        <w:tc>
          <w:tcPr>
            <w:tcMar>
              <w:top w:type="dxa" w:w="80"/>
              <w:left w:type="dxa" w:w="120"/>
              <w:bottom w:type="dxa" w:w="80"/>
              <w:right w:type="dxa" w:w="120"/>
            </w:tcMar>
            <w:vAlign w:val="center"/>
          </w:tcPr>
          <w:p>
            <w:pPr>
              <w:pStyle w:val="MdTableCell"/>
            </w:pPr>
            <w:r>
              <w:t xml:space="preserve">Linear progression, lifelines</w:t>
            </w:r>
          </w:p>
        </w:tc>
        <w:tc>
          <w:tcPr>
            <w:tcMar>
              <w:top w:type="dxa" w:w="80"/>
              <w:left w:type="dxa" w:w="120"/>
              <w:bottom w:type="dxa" w:w="80"/>
              <w:right w:type="dxa" w:w="120"/>
            </w:tcMar>
            <w:vAlign w:val="center"/>
          </w:tcPr>
          <w:p>
            <w:pPr>
              <w:pStyle w:val="MdTableCell"/>
            </w:pPr>
            <w:r>
              <w:t xml:space="preserve">Compliance, certification prep</w:t>
            </w:r>
          </w:p>
        </w:tc>
        <w:tc>
          <w:tcPr>
            <w:tcMar>
              <w:top w:type="dxa" w:w="80"/>
              <w:left w:type="dxa" w:w="120"/>
              <w:bottom w:type="dxa" w:w="80"/>
              <w:right w:type="dxa" w:w="120"/>
            </w:tcMar>
            <w:vAlign w:val="center"/>
          </w:tcPr>
          <w:p>
            <w:pPr>
              <w:pStyle w:val="MdTableCell"/>
            </w:pPr>
            <w:r>
              <w:t xml:space="preserve">Scaffolded mastery check</w:t>
            </w:r>
          </w:p>
        </w:tc>
        <w:tc>
          <w:tcPr>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No (single player)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Family Feud</w:t>
            </w:r>
          </w:p>
        </w:tc>
        <w:tc>
          <w:tcPr>
            <w:tcMar>
              <w:top w:type="dxa" w:w="80"/>
              <w:left w:type="dxa" w:w="120"/>
              <w:bottom w:type="dxa" w:w="80"/>
              <w:right w:type="dxa" w:w="120"/>
            </w:tcMar>
            <w:vAlign w:val="center"/>
          </w:tcPr>
          <w:p>
            <w:pPr>
              <w:pStyle w:val="MdTableCell"/>
            </w:pPr>
            <w:r>
              <w:t xml:space="preserve">Survey-based ranked guessing</w:t>
            </w:r>
          </w:p>
        </w:tc>
        <w:tc>
          <w:tcPr>
            <w:tcMar>
              <w:top w:type="dxa" w:w="80"/>
              <w:left w:type="dxa" w:w="120"/>
              <w:bottom w:type="dxa" w:w="80"/>
              <w:right w:type="dxa" w:w="120"/>
            </w:tcMar>
            <w:vAlign w:val="center"/>
          </w:tcPr>
          <w:p>
            <w:pPr>
              <w:pStyle w:val="MdTableCell"/>
            </w:pPr>
            <w:r>
              <w:t xml:space="preserve">Sales, soft skills, team building</w:t>
            </w:r>
          </w:p>
        </w:tc>
        <w:tc>
          <w:tcPr>
            <w:tcMar>
              <w:top w:type="dxa" w:w="80"/>
              <w:left w:type="dxa" w:w="120"/>
              <w:bottom w:type="dxa" w:w="80"/>
              <w:right w:type="dxa" w:w="120"/>
            </w:tcMar>
            <w:vAlign w:val="center"/>
          </w:tcPr>
          <w:p>
            <w:pPr>
              <w:pStyle w:val="MdTableCell"/>
            </w:pPr>
            <w:r>
              <w:t xml:space="preserve">Brainstorming, vocabulary</w:t>
            </w:r>
          </w:p>
        </w:tc>
        <w:tc>
          <w:tcPr>
            <w:tcMar>
              <w:top w:type="dxa" w:w="80"/>
              <w:left w:type="dxa" w:w="120"/>
              <w:bottom w:type="dxa" w:w="80"/>
              <w:right w:type="dxa" w:w="120"/>
            </w:tcMar>
            <w:vAlign w:val="center"/>
          </w:tcPr>
          <w:p>
            <w:pPr>
              <w:pStyle w:val="MdTableCell"/>
            </w:pPr>
            <w:r>
              <w:t xml:space="preserve">High (fuzzy match)</w:t>
            </w:r>
          </w:p>
        </w:tc>
        <w:tc>
          <w:tcPr>
            <w:tcBorders>
              <w:right w:val="none"/>
            </w:tcBorders>
            <w:tcMar>
              <w:top w:type="dxa" w:w="80"/>
              <w:left w:type="dxa" w:w="120"/>
              <w:bottom w:type="dxa" w:w="80"/>
              <w:right w:type="dxa" w:w="120"/>
            </w:tcMar>
            <w:vAlign w:val="center"/>
          </w:tcPr>
          <w:p>
            <w:pPr>
              <w:pStyle w:val="MdTableCell"/>
            </w:pPr>
            <w:r>
              <w:t xml:space="preserve">Yes (team vs. team)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Escape Room</w:t>
            </w:r>
          </w:p>
        </w:tc>
        <w:tc>
          <w:tcPr>
            <w:tcMar>
              <w:top w:type="dxa" w:w="80"/>
              <w:left w:type="dxa" w:w="120"/>
              <w:bottom w:type="dxa" w:w="80"/>
              <w:right w:type="dxa" w:w="120"/>
            </w:tcMar>
            <w:vAlign w:val="center"/>
          </w:tcPr>
          <w:p>
            <w:pPr>
              <w:pStyle w:val="MdTableCell"/>
            </w:pPr>
            <w:r>
              <w:t xml:space="preserve">Sequential puzzle unlocking</w:t>
            </w:r>
          </w:p>
        </w:tc>
        <w:tc>
          <w:tcPr>
            <w:tcMar>
              <w:top w:type="dxa" w:w="80"/>
              <w:left w:type="dxa" w:w="120"/>
              <w:bottom w:type="dxa" w:w="80"/>
              <w:right w:type="dxa" w:w="120"/>
            </w:tcMar>
            <w:vAlign w:val="center"/>
          </w:tcPr>
          <w:p>
            <w:pPr>
              <w:pStyle w:val="MdTableCell"/>
            </w:pPr>
            <w:r>
              <w:t xml:space="preserve">Cybersecurity, onboarding, process</w:t>
            </w:r>
          </w:p>
        </w:tc>
        <w:tc>
          <w:tcPr>
            <w:tcMar>
              <w:top w:type="dxa" w:w="80"/>
              <w:left w:type="dxa" w:w="120"/>
              <w:bottom w:type="dxa" w:w="80"/>
              <w:right w:type="dxa" w:w="120"/>
            </w:tcMar>
            <w:vAlign w:val="center"/>
          </w:tcPr>
          <w:p>
            <w:pPr>
              <w:pStyle w:val="MdTableCell"/>
            </w:pPr>
            <w:r>
              <w:t xml:space="preserve">Cross-curricular problem solving</w:t>
            </w:r>
          </w:p>
        </w:tc>
        <w:tc>
          <w:tcPr>
            <w:tcMar>
              <w:top w:type="dxa" w:w="80"/>
              <w:left w:type="dxa" w:w="120"/>
              <w:bottom w:type="dxa" w:w="80"/>
              <w:right w:type="dxa" w:w="120"/>
            </w:tcMar>
            <w:vAlign w:val="center"/>
          </w:tcPr>
          <w:p>
            <w:pPr>
              <w:pStyle w:val="MdTableCell"/>
            </w:pPr>
            <w:r>
              <w:t xml:space="preserve">High (state gating)</w:t>
            </w:r>
          </w:p>
        </w:tc>
        <w:tc>
          <w:tcPr>
            <w:tcBorders>
              <w:right w:val="none"/>
            </w:tcBorders>
            <w:tcMar>
              <w:top w:type="dxa" w:w="80"/>
              <w:left w:type="dxa" w:w="120"/>
              <w:bottom w:type="dxa" w:w="80"/>
              <w:right w:type="dxa" w:w="120"/>
            </w:tcMar>
            <w:vAlign w:val="center"/>
          </w:tcPr>
          <w:p>
            <w:pPr>
              <w:pStyle w:val="MdTableCell"/>
            </w:pPr>
            <w:r>
              <w:t xml:space="preserve">Optional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Spin the Wheel</w:t>
            </w:r>
          </w:p>
        </w:tc>
        <w:tc>
          <w:tcPr>
            <w:tcMar>
              <w:top w:type="dxa" w:w="80"/>
              <w:left w:type="dxa" w:w="120"/>
              <w:bottom w:type="dxa" w:w="80"/>
              <w:right w:type="dxa" w:w="120"/>
            </w:tcMar>
            <w:vAlign w:val="center"/>
          </w:tcPr>
          <w:p>
            <w:pPr>
              <w:pStyle w:val="MdTableCell"/>
            </w:pPr>
            <w:r>
              <w:t xml:space="preserve">Random category/question selector</w:t>
            </w:r>
          </w:p>
        </w:tc>
        <w:tc>
          <w:tcPr>
            <w:tcMar>
              <w:top w:type="dxa" w:w="80"/>
              <w:left w:type="dxa" w:w="120"/>
              <w:bottom w:type="dxa" w:w="80"/>
              <w:right w:type="dxa" w:w="120"/>
            </w:tcMar>
            <w:vAlign w:val="center"/>
          </w:tcPr>
          <w:p>
            <w:pPr>
              <w:pStyle w:val="MdTableCell"/>
            </w:pPr>
            <w:r>
              <w:t xml:space="preserve">Microlearning refresher, warm-up</w:t>
            </w:r>
          </w:p>
        </w:tc>
        <w:tc>
          <w:tcPr>
            <w:tcMar>
              <w:top w:type="dxa" w:w="80"/>
              <w:left w:type="dxa" w:w="120"/>
              <w:bottom w:type="dxa" w:w="80"/>
              <w:right w:type="dxa" w:w="120"/>
            </w:tcMar>
            <w:vAlign w:val="center"/>
          </w:tcPr>
          <w:p>
            <w:pPr>
              <w:pStyle w:val="MdTableCell"/>
            </w:pPr>
            <w:r>
              <w:t xml:space="preserve">Vocabulary, math facts review</w:t>
            </w:r>
          </w:p>
        </w:tc>
        <w:tc>
          <w:tcPr>
            <w:tcMar>
              <w:top w:type="dxa" w:w="80"/>
              <w:left w:type="dxa" w:w="120"/>
              <w:bottom w:type="dxa" w:w="80"/>
              <w:right w:type="dxa" w:w="120"/>
            </w:tcMar>
            <w:vAlign w:val="center"/>
          </w:tcPr>
          <w:p>
            <w:pPr>
              <w:pStyle w:val="MdTableCell"/>
            </w:pPr>
            <w:r>
              <w:t xml:space="preserve">Low</w:t>
            </w:r>
          </w:p>
        </w:tc>
        <w:tc>
          <w:tcPr>
            <w:tcBorders>
              <w:right w:val="none"/>
            </w:tcBorders>
            <w:tcMar>
              <w:top w:type="dxa" w:w="80"/>
              <w:left w:type="dxa" w:w="120"/>
              <w:bottom w:type="dxa" w:w="80"/>
              <w:right w:type="dxa" w:w="120"/>
            </w:tcMar>
            <w:vAlign w:val="center"/>
          </w:tcPr>
          <w:p>
            <w:pPr>
              <w:pStyle w:val="MdTableCell"/>
            </w:pPr>
            <w:r>
              <w:t xml:space="preserve">Optional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Price Is Right</w:t>
            </w:r>
          </w:p>
        </w:tc>
        <w:tc>
          <w:tcPr>
            <w:tcBorders>
              <w:bottom w:val="single" w:color="E1E4E8" w:sz="4"/>
            </w:tcBorders>
            <w:tcMar>
              <w:top w:type="dxa" w:w="80"/>
              <w:left w:type="dxa" w:w="120"/>
              <w:bottom w:type="dxa" w:w="80"/>
              <w:right w:type="dxa" w:w="120"/>
            </w:tcMar>
            <w:vAlign w:val="center"/>
          </w:tcPr>
          <w:p>
            <w:pPr>
              <w:pStyle w:val="MdTableCell"/>
            </w:pPr>
            <w:r>
              <w:t xml:space="preserve">Estimation and bidding</w:t>
            </w:r>
          </w:p>
        </w:tc>
        <w:tc>
          <w:tcPr>
            <w:tcBorders>
              <w:bottom w:val="single" w:color="E1E4E8" w:sz="4"/>
            </w:tcBorders>
            <w:tcMar>
              <w:top w:type="dxa" w:w="80"/>
              <w:left w:type="dxa" w:w="120"/>
              <w:bottom w:type="dxa" w:w="80"/>
              <w:right w:type="dxa" w:w="120"/>
            </w:tcMar>
            <w:vAlign w:val="center"/>
          </w:tcPr>
          <w:p>
            <w:pPr>
              <w:pStyle w:val="MdTableCell"/>
            </w:pPr>
            <w:r>
              <w:t xml:space="preserve">Budget, pricing, financial literacy</w:t>
            </w:r>
          </w:p>
        </w:tc>
        <w:tc>
          <w:tcPr>
            <w:tcBorders>
              <w:bottom w:val="single" w:color="E1E4E8" w:sz="4"/>
            </w:tcBorders>
            <w:tcMar>
              <w:top w:type="dxa" w:w="80"/>
              <w:left w:type="dxa" w:w="120"/>
              <w:bottom w:type="dxa" w:w="80"/>
              <w:right w:type="dxa" w:w="120"/>
            </w:tcMar>
            <w:vAlign w:val="center"/>
          </w:tcPr>
          <w:p>
            <w:pPr>
              <w:pStyle w:val="MdTableCell"/>
            </w:pPr>
            <w:r>
              <w:t xml:space="preserve">Math estimation, number sense</w:t>
            </w:r>
          </w:p>
        </w:tc>
        <w:tc>
          <w:tcPr>
            <w:tcBorders>
              <w:bottom w:val="single" w:color="E1E4E8" w:sz="4"/>
            </w:tcBorders>
            <w:tcMar>
              <w:top w:type="dxa" w:w="80"/>
              <w:left w:type="dxa" w:w="120"/>
              <w:bottom w:type="dxa" w:w="80"/>
              <w:right w:type="dxa" w:w="120"/>
            </w:tcMar>
            <w:vAlign w:val="center"/>
          </w:tcPr>
          <w:p>
            <w:pPr>
              <w:pStyle w:val="MdTableCell"/>
            </w:pPr>
            <w:r>
              <w:t xml:space="preserve">Medium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Optional</w:t>
            </w:r>
          </w:p>
        </w:tc>
      </w:tr>
    </w:tbl>
    <w:p>
      <w:pPr>
        <w:pStyle w:val="MdHr"/>
        <w:pBdr>
          <w:bottom w:val="single" w:color="auto" w:sz="6" w:space="1"/>
        </w:pBdr>
      </w:pPr>
    </w:p>
    <w:p>
      <w:pPr>
        <w:pStyle w:val="MdSpace"/>
        <w:spacing w:before="0" w:after="60"/>
      </w:pPr>
    </w:p>
    <w:p>
      <w:pPr>
        <w:pStyle w:val="Heading2"/>
        <w:pStyle w:val="MdHeading2"/>
      </w:pPr>
      <w:r>
        <w:t xml:space="preserve">AI Generation Considerations by Template</w:t>
      </w:r>
    </w:p>
    <w:p>
      <w:pPr>
        <w:pStyle w:val="MdParagraph"/>
      </w:pPr>
      <w:r>
        <w:t xml:space="preserve">When your AI generates content for each game template, the prompt structure and output schema must change significantly. The following table outlines the key differences in what the AI must produce for each template.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Template</w:t>
            </w:r>
          </w:p>
        </w:tc>
        <w:tc>
          <w:tcPr>
            <w:tcMar>
              <w:top w:type="dxa" w:w="100"/>
              <w:left w:type="dxa" w:w="120"/>
              <w:bottom w:type="dxa" w:w="100"/>
              <w:right w:type="dxa" w:w="120"/>
            </w:tcMar>
            <w:vAlign w:val="center"/>
          </w:tcPr>
          <w:p>
            <w:pPr>
              <w:pStyle w:val="MdTableHeader"/>
            </w:pPr>
            <w:r>
              <w:t xml:space="preserve">AI Output Required</w:t>
            </w:r>
          </w:p>
        </w:tc>
        <w:tc>
          <w:tcPr>
            <w:tcBorders>
              <w:right w:val="none"/>
            </w:tcBorders>
            <w:tcMar>
              <w:top w:type="dxa" w:w="100"/>
              <w:left w:type="dxa" w:w="120"/>
              <w:bottom w:type="dxa" w:w="100"/>
              <w:right w:type="dxa" w:w="120"/>
            </w:tcMar>
            <w:vAlign w:val="center"/>
          </w:tcPr>
          <w:p>
            <w:pPr>
              <w:pStyle w:val="MdTableHeader"/>
            </w:pPr>
            <w:r>
              <w:t xml:space="preserve">Special Considerations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Jeopardy</w:t>
            </w:r>
          </w:p>
        </w:tc>
        <w:tc>
          <w:tcPr>
            <w:tcMar>
              <w:top w:type="dxa" w:w="80"/>
              <w:left w:type="dxa" w:w="120"/>
              <w:bottom w:type="dxa" w:w="80"/>
              <w:right w:type="dxa" w:w="120"/>
            </w:tcMar>
            <w:vAlign w:val="center"/>
          </w:tcPr>
          <w:p>
            <w:pPr>
              <w:pStyle w:val="MdTableCell"/>
            </w:pPr>
            <w:r>
              <w:t xml:space="preserve">Categories, point-tiered questions, correct answers, optional Daily Double flags</w:t>
            </w:r>
          </w:p>
        </w:tc>
        <w:tc>
          <w:tcPr>
            <w:tcBorders>
              <w:right w:val="none"/>
            </w:tcBorders>
            <w:tcMar>
              <w:top w:type="dxa" w:w="80"/>
              <w:left w:type="dxa" w:w="120"/>
              <w:bottom w:type="dxa" w:w="80"/>
              <w:right w:type="dxa" w:w="120"/>
            </w:tcMar>
            <w:vAlign w:val="center"/>
          </w:tcPr>
          <w:p>
            <w:pPr>
              <w:pStyle w:val="MdTableCell"/>
            </w:pPr>
            <w:r>
              <w:t xml:space="preserve">Questions must increase in difficulty by row; categories must be thematically coherent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Millionaire</w:t>
            </w:r>
          </w:p>
        </w:tc>
        <w:tc>
          <w:tcPr>
            <w:tcMar>
              <w:top w:type="dxa" w:w="80"/>
              <w:left w:type="dxa" w:w="120"/>
              <w:bottom w:type="dxa" w:w="80"/>
              <w:right w:type="dxa" w:w="120"/>
            </w:tcMar>
            <w:vAlign w:val="center"/>
          </w:tcPr>
          <w:p>
            <w:pPr>
              <w:pStyle w:val="MdTableCell"/>
            </w:pPr>
            <w:r>
              <w:t xml:space="preserve">Ordered question sequence with exponential difficulty, 4 answer options per question, hint text for each</w:t>
            </w:r>
          </w:p>
        </w:tc>
        <w:tc>
          <w:tcPr>
            <w:tcBorders>
              <w:right w:val="none"/>
            </w:tcBorders>
            <w:tcMar>
              <w:top w:type="dxa" w:w="80"/>
              <w:left w:type="dxa" w:w="120"/>
              <w:bottom w:type="dxa" w:w="80"/>
              <w:right w:type="dxa" w:w="120"/>
            </w:tcMar>
            <w:vAlign w:val="center"/>
          </w:tcPr>
          <w:p>
            <w:pPr>
              <w:pStyle w:val="MdTableCell"/>
            </w:pPr>
            <w:r>
              <w:t xml:space="preserve">Must include safe haven milestones; hint text must be genuinely helpful without giving away the answer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Family Feud</w:t>
            </w:r>
          </w:p>
        </w:tc>
        <w:tc>
          <w:tcPr>
            <w:tcMar>
              <w:top w:type="dxa" w:w="80"/>
              <w:left w:type="dxa" w:w="120"/>
              <w:bottom w:type="dxa" w:w="80"/>
              <w:right w:type="dxa" w:w="120"/>
            </w:tcMar>
            <w:vAlign w:val="center"/>
          </w:tcPr>
          <w:p>
            <w:pPr>
              <w:pStyle w:val="MdTableCell"/>
            </w:pPr>
            <w:r>
              <w:t xml:space="preserve">Open-ended prompts with ranked answer lists and accepted synonyms</w:t>
            </w:r>
          </w:p>
        </w:tc>
        <w:tc>
          <w:tcPr>
            <w:tcBorders>
              <w:right w:val="none"/>
            </w:tcBorders>
            <w:tcMar>
              <w:top w:type="dxa" w:w="80"/>
              <w:left w:type="dxa" w:w="120"/>
              <w:bottom w:type="dxa" w:w="80"/>
              <w:right w:type="dxa" w:w="120"/>
            </w:tcMar>
            <w:vAlign w:val="center"/>
          </w:tcPr>
          <w:p>
            <w:pPr>
              <w:pStyle w:val="MdTableCell"/>
            </w:pPr>
            <w:r>
              <w:t xml:space="preserve">AI must generate multiple valid answers per prompt, not just one; synonym lists are critical for fuzzy matching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Escape Room</w:t>
            </w:r>
          </w:p>
        </w:tc>
        <w:tc>
          <w:tcPr>
            <w:tcMar>
              <w:top w:type="dxa" w:w="80"/>
              <w:left w:type="dxa" w:w="120"/>
              <w:bottom w:type="dxa" w:w="80"/>
              <w:right w:type="dxa" w:w="120"/>
            </w:tcMar>
            <w:vAlign w:val="center"/>
          </w:tcPr>
          <w:p>
            <w:pPr>
              <w:pStyle w:val="MdTableCell"/>
            </w:pPr>
            <w:r>
              <w:t xml:space="preserve">Narrative scenario, puzzle descriptions, gate conditions, clue text</w:t>
            </w:r>
          </w:p>
        </w:tc>
        <w:tc>
          <w:tcPr>
            <w:tcBorders>
              <w:right w:val="none"/>
            </w:tcBorders>
            <w:tcMar>
              <w:top w:type="dxa" w:w="80"/>
              <w:left w:type="dxa" w:w="120"/>
              <w:bottom w:type="dxa" w:w="80"/>
              <w:right w:type="dxa" w:w="120"/>
            </w:tcMar>
            <w:vAlign w:val="center"/>
          </w:tcPr>
          <w:p>
            <w:pPr>
              <w:pStyle w:val="MdTableCell"/>
            </w:pPr>
            <w:r>
              <w:t xml:space="preserve">AI must generate a coherent narrative arc, not just isolated questions; each puzzle must logically connect to the next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Spin the Wheel</w:t>
            </w:r>
          </w:p>
        </w:tc>
        <w:tc>
          <w:tcPr>
            <w:tcMar>
              <w:top w:type="dxa" w:w="80"/>
              <w:left w:type="dxa" w:w="120"/>
              <w:bottom w:type="dxa" w:w="80"/>
              <w:right w:type="dxa" w:w="120"/>
            </w:tcMar>
            <w:vAlign w:val="center"/>
          </w:tcPr>
          <w:p>
            <w:pPr>
              <w:pStyle w:val="MdTableCell"/>
            </w:pPr>
            <w:r>
              <w:t xml:space="preserve">Category labels and question pools per category</w:t>
            </w:r>
          </w:p>
        </w:tc>
        <w:tc>
          <w:tcPr>
            <w:tcBorders>
              <w:right w:val="none"/>
            </w:tcBorders>
            <w:tcMar>
              <w:top w:type="dxa" w:w="80"/>
              <w:left w:type="dxa" w:w="120"/>
              <w:bottom w:type="dxa" w:w="80"/>
              <w:right w:type="dxa" w:w="120"/>
            </w:tcMar>
            <w:vAlign w:val="center"/>
          </w:tcPr>
          <w:p>
            <w:pPr>
              <w:pStyle w:val="MdTableCell"/>
            </w:pPr>
            <w:r>
              <w:t xml:space="preserve">Questions can be standard multiple-choice; the complexity is in the UI, not the content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Price Is Right</w:t>
            </w:r>
          </w:p>
        </w:tc>
        <w:tc>
          <w:tcPr>
            <w:tcBorders>
              <w:bottom w:val="single" w:color="E1E4E8" w:sz="4"/>
            </w:tcBorders>
            <w:tcMar>
              <w:top w:type="dxa" w:w="80"/>
              <w:left w:type="dxa" w:w="120"/>
              <w:bottom w:type="dxa" w:w="80"/>
              <w:right w:type="dxa" w:w="120"/>
            </w:tcMar>
            <w:vAlign w:val="center"/>
          </w:tcPr>
          <w:p>
            <w:pPr>
              <w:pStyle w:val="MdTableCell"/>
            </w:pPr>
            <w:r>
              <w:t xml:space="preserve">Items/scenarios with correct values and acceptable estimation ranges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Requires domain-specific data (e.g., actual costs, measurements); AI must be grounded with real-world figures</w:t>
            </w:r>
          </w:p>
        </w:tc>
      </w:tr>
    </w:tbl>
    <w:p>
      <w:pPr>
        <w:pStyle w:val="MdHr"/>
        <w:pBdr>
          <w:bottom w:val="single" w:color="auto" w:sz="6" w:space="1"/>
        </w:pBdr>
      </w:pPr>
    </w:p>
    <w:p>
      <w:pPr>
        <w:pStyle w:val="MdSpace"/>
        <w:spacing w:before="0" w:after="60"/>
      </w:pPr>
    </w:p>
    <w:p>
      <w:pPr>
        <w:pStyle w:val="Heading2"/>
        <w:pStyle w:val="MdHeading2"/>
      </w:pPr>
      <w:r>
        <w:t xml:space="preserve">Platform Feature Recommendations</w:t>
      </w:r>
    </w:p>
    <w:p>
      <w:pPr>
        <w:pStyle w:val="MdParagraph"/>
      </w:pPr>
      <w:r>
        <w:t xml:space="preserve">Based on this research, the following features are recommended for your Course Builder's game template module.</w:t>
      </w:r>
    </w:p>
    <w:p>
      <w:pPr>
        <w:pStyle w:val="MdSpace"/>
        <w:spacing w:before="0" w:after="60"/>
      </w:pPr>
    </w:p>
    <w:p>
      <w:pPr>
        <w:pStyle w:val="MdParagraph"/>
      </w:pPr>
      <w:r>
        <w:rPr>
          <w:rStyle w:val="MdStrong"/>
          <w:b/>
          <w:bCs/>
        </w:rPr>
        <w:t xml:space="preserve">A "Game Mode" Toggle in the Course Builder UI.</w:t>
      </w:r>
      <w:r>
        <w:t xml:space="preserve"> Rather than treating game templates as entirely separate interaction types, consider adding a "Game Mode" toggle to the existing quiz/knowledge check section. When enabled, the user can select from the available templates. This keeps the UI clean and communicates that game templates are an enhanced version of assessment, not a separate concept.</w:t>
      </w:r>
    </w:p>
    <w:p>
      <w:pPr>
        <w:pStyle w:val="MdSpace"/>
        <w:spacing w:before="0" w:after="60"/>
      </w:pPr>
    </w:p>
    <w:p>
      <w:pPr>
        <w:pStyle w:val="MdParagraph"/>
      </w:pPr>
      <w:r>
        <w:rPr>
          <w:rStyle w:val="MdStrong"/>
          <w:b/>
          <w:bCs/>
        </w:rPr>
        <w:t xml:space="preserve">Audience-Aware Template Defaults.</w:t>
      </w:r>
      <w:r>
        <w:t xml:space="preserve"> When the Corporate Training tab is active, the Jeopardy, Millionaire, and Price Is Right templates should be prominently featured. When the Education (K-12) tab is active, Escape Room, Spin the Wheel, and Jeopardy should be foregrounded. Family Feud is appropriate for both audiences.</w:t>
      </w:r>
    </w:p>
    <w:p>
      <w:pPr>
        <w:pStyle w:val="MdSpace"/>
        <w:spacing w:before="0" w:after="60"/>
      </w:pPr>
    </w:p>
    <w:p>
      <w:pPr>
        <w:pStyle w:val="MdParagraph"/>
      </w:pPr>
      <w:r>
        <w:rPr>
          <w:rStyle w:val="MdStrong"/>
          <w:b/>
          <w:bCs/>
        </w:rPr>
        <w:t xml:space="preserve">Thoroughness-Level Integration.</w:t>
      </w:r>
      <w:r>
        <w:t xml:space="preserve"> Game templates should be tied to the thoroughness selection. A "Quick Overview" course should not include an Escape Room (which requires significant content depth). A "Comprehensive Course" is the appropriate context for Escape Rooms and full Jeopardy boards. Millionaire and Spin the Wheel are appropriate for all three levels.</w:t>
      </w:r>
    </w:p>
    <w:p>
      <w:pPr>
        <w:pStyle w:val="MdSpace"/>
        <w:spacing w:before="0" w:after="60"/>
      </w:pPr>
    </w:p>
    <w:p>
      <w:pPr>
        <w:pStyle w:val="MdParagraph"/>
      </w:pPr>
      <w:r>
        <w:rPr>
          <w:rStyle w:val="MdStrong"/>
          <w:b/>
          <w:bCs/>
        </w:rPr>
        <w:t xml:space="preserve">Standardized Content Schema.</w:t>
      </w:r>
      <w:r>
        <w:t xml:space="preserve"> Ensure that the AI generates all game content using a single, standardized JSON schema that each template's rendering engine can consume. This prevents the need to build separate AI pipelines for each game type and makes it easier to allow users to switch between templates after content has been generated.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ELB Learning. "5 Tips to Making a JEOPARDY!® for Training Game." </w:t>
      </w:r>
      <w:hyperlink w:history="1" r:id="rIdfwqpimnljjebdeuxmw4xr">
        <w:r>
          <w:rPr>
            <w:rStyle w:val="MdLink"/>
          </w:rPr>
          <w:t xml:space="preserve">https://blog.elblearning.com/5-tips-to-making-a-jeopardy-for-training-game</w:t>
        </w:r>
      </w:hyperlink>
    </w:p>
    <w:p>
      <w:pPr>
        <w:pStyle w:val="MdSpace"/>
        <w:spacing w:before="0" w:after="60"/>
      </w:pPr>
    </w:p>
    <w:p>
      <w:pPr>
        <w:pStyle w:val="MdParagraph"/>
      </w:pPr>
      <w:r>
        <w:t xml:space="preserve">[2] Arkadium Support. "[WHO WANTS TO BE A MILLIONAIRE]: How to play, Lifelines, Scoring." </w:t>
      </w:r>
      <w:hyperlink w:history="1" r:id="rIdyzizedygob32tfakyrnm-">
        <w:r>
          <w:rPr>
            <w:rStyle w:val="MdLink"/>
          </w:rPr>
          <w:t xml:space="preserve">https://support.arkadium.com/en/support/solutions/articles/44002540301</w:t>
        </w:r>
      </w:hyperlink>
    </w:p>
    <w:p>
      <w:pPr>
        <w:pStyle w:val="MdSpace"/>
        <w:spacing w:before="0" w:after="60"/>
      </w:pPr>
    </w:p>
    <w:p>
      <w:pPr>
        <w:pStyle w:val="MdParagraph"/>
      </w:pPr>
      <w:r>
        <w:t xml:space="preserve">[3] Candidate Experience Institute. "How a Family Feud Sales Training Game Can Transform Your Candidate Experience." </w:t>
      </w:r>
      <w:hyperlink w:history="1" r:id="rIdsj2h4-so3c4xptpkbb6zn">
        <w:r>
          <w:rPr>
            <w:rStyle w:val="MdLink"/>
          </w:rPr>
          <w:t xml:space="preserve">https://www.candidate-experience-institute.com/blog/how-a-family-feud-sales-training-game-can-transform-your-candidate-experience</w:t>
        </w:r>
      </w:hyperlink>
    </w:p>
    <w:p>
      <w:pPr>
        <w:pStyle w:val="MdSpace"/>
        <w:spacing w:before="0" w:after="60"/>
      </w:pPr>
    </w:p>
    <w:p>
      <w:pPr>
        <w:pStyle w:val="MdParagraph"/>
      </w:pPr>
      <w:r>
        <w:t xml:space="preserve">[4] Frohrer/JeoParty GitHub Repository. "An interactive web-based Jeopardy! game that uses OpenAI's GPT-4 and TTS for enhanced gameplay." </w:t>
      </w:r>
      <w:hyperlink w:history="1" r:id="rIdka61elhpxmz03bqyzyliy">
        <w:r>
          <w:rPr>
            <w:rStyle w:val="MdLink"/>
          </w:rPr>
          <w:t xml:space="preserve">https://github.com/Frohrer/JeoParty</w:t>
        </w:r>
      </w:hyperlink>
    </w:p>
    <w:p>
      <w:pPr>
        <w:pStyle w:val="MdSpace"/>
        <w:spacing w:before="0" w:after="60"/>
      </w:pPr>
    </w:p>
    <w:p>
      <w:pPr>
        <w:pStyle w:val="MdParagraph"/>
      </w:pPr>
      <w:r>
        <w:t xml:space="preserve">[5] Sidekerskienė, T. et al. "Out-of-the-Box Learning: Digital Escape Rooms as a Pedagogical Tool." MDPI Sustainability, 2023. </w:t>
      </w:r>
      <w:hyperlink w:history="1" r:id="rIdvjizhlrz2hij2y-dp4e4t">
        <w:r>
          <w:rPr>
            <w:rStyle w:val="MdLink"/>
          </w:rPr>
          <w:t xml:space="preserve">https://www.mdpi.com/2071-1050/15/9/7393</w:t>
        </w:r>
      </w:hyperlink>
    </w:p>
    <w:p>
      <w:pPr>
        <w:pStyle w:val="MdSpace"/>
        <w:spacing w:before="0" w:after="60"/>
      </w:pPr>
    </w:p>
    <w:p>
      <w:pPr>
        <w:pStyle w:val="MdParagraph"/>
      </w:pPr>
      <w:r>
        <w:t xml:space="preserve">[6] Slideswith.com. "Learning Games: Blooket vs Kahoot vs Gimkit vs Quizizz." </w:t>
      </w:r>
      <w:hyperlink w:history="1" r:id="rIdegp-ey-efcvsaezeu84yo">
        <w:r>
          <w:rPr>
            <w:rStyle w:val="MdLink"/>
          </w:rPr>
          <w:t xml:space="preserve">https://slideswith.com/blog/blooket-vs-kahoot-vs-gimkit-vs-quizizz</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wqpimnljjebdeuxmw4xr" Type="http://schemas.openxmlformats.org/officeDocument/2006/relationships/hyperlink" Target="https://blog.elblearning.com/5-tips-to-making-a-jeopardy-for-training-game" TargetMode="External"/><Relationship Id="rIdyzizedygob32tfakyrnm-" Type="http://schemas.openxmlformats.org/officeDocument/2006/relationships/hyperlink" Target="https://support.arkadium.com/en/support/solutions/articles/44002540301" TargetMode="External"/><Relationship Id="rIdsj2h4-so3c4xptpkbb6zn" Type="http://schemas.openxmlformats.org/officeDocument/2006/relationships/hyperlink" Target="https://www.candidate-experience-institute.com/blog/how-a-family-feud-sales-training-game-can-transform-your-candidate-experience" TargetMode="External"/><Relationship Id="rIdka61elhpxmz03bqyzyliy" Type="http://schemas.openxmlformats.org/officeDocument/2006/relationships/hyperlink" Target="https://github.com/Frohrer/JeoParty" TargetMode="External"/><Relationship Id="rIdvjizhlrz2hij2y-dp4e4t" Type="http://schemas.openxmlformats.org/officeDocument/2006/relationships/hyperlink" Target="https://www.mdpi.com/2071-1050/15/9/7393" TargetMode="External"/><Relationship Id="rIdegp-ey-efcvsaezeu84yo" Type="http://schemas.openxmlformats.org/officeDocument/2006/relationships/hyperlink" Target="https://slideswith.com/blog/blooket-vs-kahoot-vs-gimkit-vs-quizizz"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2026-03-20T13:07:16.236Z</dcterms:created>
  <dcterms:modified xsi:type="dcterms:W3CDTF">2026-03-20T13:07:16.236Z</dcterms:modified>
</cp:coreProperties>
</file>

<file path=docProps/custom.xml><?xml version="1.0" encoding="utf-8"?>
<Properties xmlns="http://schemas.openxmlformats.org/officeDocument/2006/custom-properties" xmlns:vt="http://schemas.openxmlformats.org/officeDocument/2006/docPropsVTypes"/>
</file>