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Comprehensive Pricing Strategy: AI-Powered eLearning Course Builder</w:t>
      </w:r>
    </w:p>
    <w:p>
      <w:pPr>
        <w:pStyle w:val="MdParagraph"/>
      </w:pPr>
      <w:r>
        <w:rPr>
          <w:rStyle w:val="MdStrong"/>
          <w:b/>
          <w:bCs/>
        </w:rPr>
        <w:t xml:space="preserve">Target Markets:</w:t>
      </w:r>
      <w:r>
        <w:t xml:space="preserve"> Corporate Instructional Designers &amp; K-12 Educators
</w:t>
      </w:r>
      <w:r>
        <w:rPr>
          <w:rStyle w:val="MdStrong"/>
          <w:b/>
          <w:bCs/>
        </w:rPr>
        <w:t xml:space="preserve">Author:</w:t>
      </w:r>
      <w:r>
        <w:t xml:space="preserve"> Manus AI
</w:t>
      </w:r>
      <w:r>
        <w:rPr>
          <w:rStyle w:val="MdStrong"/>
          <w:b/>
          <w:bCs/>
        </w:rPr>
        <w:t xml:space="preserve">Date:</w:t>
      </w:r>
      <w:r>
        <w:t xml:space="preserve"> April 19, 2026</w:t>
      </w:r>
    </w:p>
    <w:p>
      <w:pPr>
        <w:pStyle w:val="MdSpace"/>
        <w:spacing w:before="0" w:after="60"/>
      </w:pPr>
    </w:p>
    <w:p>
      <w:pPr>
        <w:pStyle w:val="Heading2"/>
        <w:pStyle w:val="MdHeading2"/>
      </w:pPr>
      <w:r>
        <w:t xml:space="preserve">1. Executive Summary</w:t>
      </w:r>
    </w:p>
    <w:p>
      <w:pPr>
        <w:pStyle w:val="MdParagraph"/>
      </w:pPr>
      <w:r>
        <w:t xml:space="preserve">This document presents an updated, comprehensive pricing strategy for an AI-powered eLearning course builder that serves two distinct markets: corporate instructional designers (IDs) and K-12 educators. The original strategy successfully established a hybrid subscription-plus-credit model designed to abstract the variable costs of AI generation while capturing value from high-volume corporate users. The introduction of high-quality Text-to-Speech (TTS) audio narration—a premium feature with significant API costs—requires a recalibration of the credit system and tier benefits to maintain profitability while maximizing user adoption.</w:t>
      </w:r>
    </w:p>
    <w:p>
      <w:pPr>
        <w:pStyle w:val="MdSpace"/>
        <w:spacing w:before="0" w:after="60"/>
      </w:pPr>
    </w:p>
    <w:p>
      <w:pPr>
        <w:pStyle w:val="MdParagraph"/>
      </w:pPr>
      <w:r>
        <w:t xml:space="preserve">Corporate buyers are accustomed to high per-seat licensing and prioritize ROI, time-saving efficiency, SCORM compliance, and now, professional-grade audio narration without the need for voice actors. In contrast, the K-12 market is highly price-sensitive, relies heavily on a "freemium" adoption funnel where individual teachers advocate for district-wide purchases, and operates within rigid annual budget cycles [1] [2]. </w:t>
      </w:r>
    </w:p>
    <w:p>
      <w:pPr>
        <w:pStyle w:val="MdSpace"/>
        <w:spacing w:before="0" w:after="60"/>
      </w:pPr>
    </w:p>
    <w:p>
      <w:pPr>
        <w:pStyle w:val="MdParagraph"/>
      </w:pPr>
      <w:r>
        <w:t xml:space="preserve">To successfully capture both markets without cannibalizing revenue, the optimal approach remains a </w:t>
      </w:r>
      <w:r>
        <w:rPr>
          <w:rStyle w:val="MdStrong"/>
          <w:b/>
          <w:bCs/>
        </w:rPr>
        <w:t xml:space="preserve">Bifurcated Tiered Subscription Model</w:t>
      </w:r>
      <w:r>
        <w:t xml:space="preserve"> built on a unified credit system. This updated strategy integrates TTS audio generation as a high-value, credit-intensive feature, positioning it as a key differentiator for premium tiers and a driver for credit pack upsells.</w:t>
      </w:r>
    </w:p>
    <w:p>
      <w:pPr>
        <w:pStyle w:val="MdSpace"/>
        <w:spacing w:before="0" w:after="60"/>
      </w:pPr>
    </w:p>
    <w:p>
      <w:pPr>
        <w:pStyle w:val="Heading2"/>
        <w:pStyle w:val="MdHeading2"/>
      </w:pPr>
      <w:r>
        <w:t xml:space="preserve">2. Market Dynamics &amp; Pricing Constraints</w:t>
      </w:r>
    </w:p>
    <w:p>
      <w:pPr>
        <w:pStyle w:val="Heading3"/>
        <w:pStyle w:val="MdHeading3"/>
      </w:pPr>
      <w:r>
        <w:t xml:space="preserve">2.1 The Corporate Market Reality</w:t>
      </w:r>
    </w:p>
    <w:p>
      <w:pPr>
        <w:pStyle w:val="MdParagraph"/>
      </w:pPr>
      <w:r>
        <w:t xml:space="preserve">Corporate L&amp;D departments evaluate authoring tools based on speed to deployment, integration with existing Learning Management Systems (LMS), and the professional polish of the final product. Competitors like Articulate 360 charge approximately $1,400 annually per user, while newer AI entrants like Coursebox charge between $30 and $100 monthly for individual creators [3]. Corporate buyers are willing to pay premium prices for advanced features such as branching scenarios, high-fidelity SCORM exports, robust analytics, and natural-sounding AI voice-overs. The primary constraint in this market is not budget, but perceived value and enterprise security compliance.</w:t>
      </w:r>
    </w:p>
    <w:p>
      <w:pPr>
        <w:pStyle w:val="MdSpace"/>
        <w:spacing w:before="0" w:after="60"/>
      </w:pPr>
    </w:p>
    <w:p>
      <w:pPr>
        <w:pStyle w:val="Heading3"/>
        <w:pStyle w:val="MdHeading3"/>
      </w:pPr>
      <w:r>
        <w:t xml:space="preserve">2.2 The K-12 Education Market Reality</w:t>
      </w:r>
    </w:p>
    <w:p>
      <w:pPr>
        <w:pStyle w:val="MdParagraph"/>
      </w:pPr>
      <w:r>
        <w:t xml:space="preserve">The K-12 EdTech market operates on entirely different financial mechanics. Individual teachers frequently pay for tools out of their own pockets, with average out-of-pocket spending reaching nearly $900 annually for all classroom supplies [4]. Consequently, the ceiling for an individual teacher subscription is rigidly capped between $8 and $15 per month [5]. Successful platforms like MagicSchool AI and Nearpod utilize a "Forever Free" tier to build a massive user base, monetizing a subset of "Pro" teachers at roughly $10 to $13 monthly, while relying on custom-priced, district-wide enterprise contracts for their primary revenue [6] [7]. Furthermore, K-12 purchasing is highly seasonal and often dependent on state funding or federal grants (such as Title I) [8].</w:t>
      </w:r>
    </w:p>
    <w:p>
      <w:pPr>
        <w:pStyle w:val="MdSpace"/>
        <w:spacing w:before="0" w:after="60"/>
      </w:pPr>
    </w:p>
    <w:p>
      <w:pPr>
        <w:pStyle w:val="Heading2"/>
        <w:pStyle w:val="MdHeading2"/>
      </w:pPr>
      <w:r>
        <w:t xml:space="preserve">3. The Recommended Pricing Architecture</w:t>
      </w:r>
    </w:p>
    <w:p>
      <w:pPr>
        <w:pStyle w:val="MdParagraph"/>
      </w:pPr>
      <w:r>
        <w:t xml:space="preserve">To serve these disparate audiences from a single platform, the pricing page must explicitly route users into two distinct tracks: </w:t>
      </w:r>
      <w:r>
        <w:rPr>
          <w:rStyle w:val="MdStrong"/>
          <w:b/>
          <w:bCs/>
        </w:rPr>
        <w:t xml:space="preserve">Corporate Training</w:t>
      </w:r>
      <w:r>
        <w:t xml:space="preserve"> and </w:t>
      </w:r>
      <w:r>
        <w:rPr>
          <w:rStyle w:val="MdStrong"/>
          <w:b/>
          <w:bCs/>
        </w:rPr>
        <w:t xml:space="preserve">Education (K-12)</w:t>
      </w:r>
      <w:r>
        <w:t xml:space="preserve">. Both tracks operate on the foundational credit system, but the subscription prices, included features, and credit allotments differ significantly to account for the inclusion of TTS capabilities.</w:t>
      </w:r>
    </w:p>
    <w:p>
      <w:pPr>
        <w:pStyle w:val="MdSpace"/>
        <w:spacing w:before="0" w:after="60"/>
      </w:pPr>
    </w:p>
    <w:p>
      <w:pPr>
        <w:pStyle w:val="Heading3"/>
        <w:pStyle w:val="MdHeading3"/>
      </w:pPr>
      <w:r>
        <w:t xml:space="preserve">3.1 The Education (K-12) Track</w:t>
      </w:r>
    </w:p>
    <w:p>
      <w:pPr>
        <w:pStyle w:val="MdParagraph"/>
      </w:pPr>
      <w:r>
        <w:t xml:space="preserve">This track is designed for rapid adoption. It assumes that teachers have virtually zero budget for software but possess immense influence over district purchasing decisions. TTS is introduced as a premium capability to drive upgrades to the Pro tier.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Tier</w:t>
            </w:r>
          </w:p>
        </w:tc>
        <w:tc>
          <w:tcPr>
            <w:tcMar>
              <w:top w:type="dxa" w:w="100"/>
              <w:left w:type="dxa" w:w="120"/>
              <w:bottom w:type="dxa" w:w="100"/>
              <w:right w:type="dxa" w:w="120"/>
            </w:tcMar>
            <w:vAlign w:val="center"/>
          </w:tcPr>
          <w:p>
            <w:pPr>
              <w:pStyle w:val="MdTableHeader"/>
              <w:jc w:val="left"/>
            </w:pPr>
            <w:r>
              <w:t xml:space="preserve">Monthly Price (Billed Annually)</w:t>
            </w:r>
          </w:p>
        </w:tc>
        <w:tc>
          <w:tcPr>
            <w:tcMar>
              <w:top w:type="dxa" w:w="100"/>
              <w:left w:type="dxa" w:w="120"/>
              <w:bottom w:type="dxa" w:w="100"/>
              <w:right w:type="dxa" w:w="120"/>
            </w:tcMar>
            <w:vAlign w:val="center"/>
          </w:tcPr>
          <w:p>
            <w:pPr>
              <w:pStyle w:val="MdTableHeader"/>
              <w:jc w:val="left"/>
            </w:pPr>
            <w:r>
              <w:t xml:space="preserve">Monthly AI Credits</w:t>
            </w:r>
          </w:p>
        </w:tc>
        <w:tc>
          <w:tcPr>
            <w:tcMar>
              <w:top w:type="dxa" w:w="100"/>
              <w:left w:type="dxa" w:w="120"/>
              <w:bottom w:type="dxa" w:w="100"/>
              <w:right w:type="dxa" w:w="120"/>
            </w:tcMar>
            <w:vAlign w:val="center"/>
          </w:tcPr>
          <w:p>
            <w:pPr>
              <w:pStyle w:val="MdTableHeader"/>
              <w:jc w:val="left"/>
            </w:pPr>
            <w:r>
              <w:t xml:space="preserve">Target Audience</w:t>
            </w:r>
          </w:p>
        </w:tc>
        <w:tc>
          <w:tcPr>
            <w:tcBorders>
              <w:right w:val="none"/>
            </w:tcBorders>
            <w:tcMar>
              <w:top w:type="dxa" w:w="100"/>
              <w:left w:type="dxa" w:w="120"/>
              <w:bottom w:type="dxa" w:w="100"/>
              <w:right w:type="dxa" w:w="120"/>
            </w:tcMar>
            <w:vAlign w:val="center"/>
          </w:tcPr>
          <w:p>
            <w:pPr>
              <w:pStyle w:val="MdTableHeader"/>
              <w:jc w:val="left"/>
            </w:pPr>
            <w:r>
              <w:t xml:space="preserve">Key Features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Teacher Free</w:t>
            </w:r>
          </w:p>
        </w:tc>
        <w:tc>
          <w:tcPr>
            <w:tcMar>
              <w:top w:type="dxa" w:w="80"/>
              <w:left w:type="dxa" w:w="120"/>
              <w:bottom w:type="dxa" w:w="80"/>
              <w:right w:type="dxa" w:w="120"/>
            </w:tcMar>
            <w:vAlign w:val="center"/>
          </w:tcPr>
          <w:p>
            <w:pPr>
              <w:pStyle w:val="MdTableCell"/>
              <w:jc w:val="left"/>
            </w:pPr>
            <w:r>
              <w:t xml:space="preserve">$0</w:t>
            </w:r>
          </w:p>
        </w:tc>
        <w:tc>
          <w:tcPr>
            <w:tcMar>
              <w:top w:type="dxa" w:w="80"/>
              <w:left w:type="dxa" w:w="120"/>
              <w:bottom w:type="dxa" w:w="80"/>
              <w:right w:type="dxa" w:w="120"/>
            </w:tcMar>
            <w:vAlign w:val="center"/>
          </w:tcPr>
          <w:p>
            <w:pPr>
              <w:pStyle w:val="MdTableCell"/>
              <w:jc w:val="left"/>
            </w:pPr>
            <w:r>
              <w:t xml:space="preserve">50</w:t>
            </w:r>
          </w:p>
        </w:tc>
        <w:tc>
          <w:tcPr>
            <w:tcMar>
              <w:top w:type="dxa" w:w="80"/>
              <w:left w:type="dxa" w:w="120"/>
              <w:bottom w:type="dxa" w:w="80"/>
              <w:right w:type="dxa" w:w="120"/>
            </w:tcMar>
            <w:vAlign w:val="center"/>
          </w:tcPr>
          <w:p>
            <w:pPr>
              <w:pStyle w:val="MdTableCell"/>
              <w:jc w:val="left"/>
            </w:pPr>
            <w:r>
              <w:t xml:space="preserve">Individual Teachers (Trial/Light Use)</w:t>
            </w:r>
          </w:p>
        </w:tc>
        <w:tc>
          <w:tcPr>
            <w:tcBorders>
              <w:right w:val="none"/>
            </w:tcBorders>
            <w:tcMar>
              <w:top w:type="dxa" w:w="80"/>
              <w:left w:type="dxa" w:w="120"/>
              <w:bottom w:type="dxa" w:w="80"/>
              <w:right w:type="dxa" w:w="120"/>
            </w:tcMar>
            <w:vAlign w:val="center"/>
          </w:tcPr>
          <w:p>
            <w:pPr>
              <w:pStyle w:val="MdTableCell"/>
              <w:jc w:val="left"/>
            </w:pPr>
            <w:r>
              <w:t xml:space="preserve">Basic AI course generation (Quick Overview &amp; Standard), standard K-12 templates, watermarked exports. </w:t>
            </w:r>
            <w:r>
              <w:rPr>
                <w:rStyle w:val="MdEm"/>
                <w:i/>
                <w:iCs/>
              </w:rPr>
              <w:t xml:space="preserve">No TTS Audio.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Teacher Pro</w:t>
            </w:r>
          </w:p>
        </w:tc>
        <w:tc>
          <w:tcPr>
            <w:tcMar>
              <w:top w:type="dxa" w:w="80"/>
              <w:left w:type="dxa" w:w="120"/>
              <w:bottom w:type="dxa" w:w="80"/>
              <w:right w:type="dxa" w:w="120"/>
            </w:tcMar>
            <w:vAlign w:val="center"/>
          </w:tcPr>
          <w:p>
            <w:pPr>
              <w:pStyle w:val="MdTableCell"/>
              <w:jc w:val="left"/>
            </w:pPr>
            <w:r>
              <w:t xml:space="preserve">$12 / user</w:t>
            </w:r>
          </w:p>
        </w:tc>
        <w:tc>
          <w:tcPr>
            <w:tcMar>
              <w:top w:type="dxa" w:w="80"/>
              <w:left w:type="dxa" w:w="120"/>
              <w:bottom w:type="dxa" w:w="80"/>
              <w:right w:type="dxa" w:w="120"/>
            </w:tcMar>
            <w:vAlign w:val="center"/>
          </w:tcPr>
          <w:p>
            <w:pPr>
              <w:pStyle w:val="MdTableCell"/>
              <w:jc w:val="left"/>
            </w:pPr>
            <w:r>
              <w:t xml:space="preserve">300</w:t>
            </w:r>
          </w:p>
        </w:tc>
        <w:tc>
          <w:tcPr>
            <w:tcMar>
              <w:top w:type="dxa" w:w="80"/>
              <w:left w:type="dxa" w:w="120"/>
              <w:bottom w:type="dxa" w:w="80"/>
              <w:right w:type="dxa" w:w="120"/>
            </w:tcMar>
            <w:vAlign w:val="center"/>
          </w:tcPr>
          <w:p>
            <w:pPr>
              <w:pStyle w:val="MdTableCell"/>
              <w:jc w:val="left"/>
            </w:pPr>
            <w:r>
              <w:t xml:space="preserve">Power-User Teachers</w:t>
            </w:r>
          </w:p>
        </w:tc>
        <w:tc>
          <w:tcPr>
            <w:tcBorders>
              <w:right w:val="none"/>
            </w:tcBorders>
            <w:tcMar>
              <w:top w:type="dxa" w:w="80"/>
              <w:left w:type="dxa" w:w="120"/>
              <w:bottom w:type="dxa" w:w="80"/>
              <w:right w:type="dxa" w:w="120"/>
            </w:tcMar>
            <w:vAlign w:val="center"/>
          </w:tcPr>
          <w:p>
            <w:pPr>
              <w:pStyle w:val="MdTableCell"/>
              <w:jc w:val="left"/>
            </w:pPr>
            <w:r>
              <w:t xml:space="preserve">Full AI generation (including Comprehensive Units), advanced game templates, no watermarks, LMS integration. </w:t>
            </w:r>
            <w:r>
              <w:rPr>
                <w:rStyle w:val="MdEm"/>
                <w:i/>
                <w:iCs/>
              </w:rPr>
              <w:t xml:space="preserve">Includes Standard TTS Audio.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School / District</w:t>
            </w:r>
          </w:p>
        </w:tc>
        <w:tc>
          <w:tcPr>
            <w:tcBorders>
              <w:bottom w:val="single" w:color="E1E4E8" w:sz="4"/>
            </w:tcBorders>
            <w:tcMar>
              <w:top w:type="dxa" w:w="80"/>
              <w:left w:type="dxa" w:w="120"/>
              <w:bottom w:type="dxa" w:w="80"/>
              <w:right w:type="dxa" w:w="120"/>
            </w:tcMar>
            <w:vAlign w:val="center"/>
          </w:tcPr>
          <w:p>
            <w:pPr>
              <w:pStyle w:val="MdTableCell"/>
              <w:jc w:val="left"/>
            </w:pPr>
            <w:r>
              <w:t xml:space="preserve">Custom (Per Student or Per Site)</w:t>
            </w:r>
          </w:p>
        </w:tc>
        <w:tc>
          <w:tcPr>
            <w:tcBorders>
              <w:bottom w:val="single" w:color="E1E4E8" w:sz="4"/>
            </w:tcBorders>
            <w:tcMar>
              <w:top w:type="dxa" w:w="80"/>
              <w:left w:type="dxa" w:w="120"/>
              <w:bottom w:type="dxa" w:w="80"/>
              <w:right w:type="dxa" w:w="120"/>
            </w:tcMar>
            <w:vAlign w:val="center"/>
          </w:tcPr>
          <w:p>
            <w:pPr>
              <w:pStyle w:val="MdTableCell"/>
              <w:jc w:val="left"/>
            </w:pPr>
            <w:r>
              <w:t xml:space="preserve">Pooled / Custom</w:t>
            </w:r>
          </w:p>
        </w:tc>
        <w:tc>
          <w:tcPr>
            <w:tcBorders>
              <w:bottom w:val="single" w:color="E1E4E8" w:sz="4"/>
            </w:tcBorders>
            <w:tcMar>
              <w:top w:type="dxa" w:w="80"/>
              <w:left w:type="dxa" w:w="120"/>
              <w:bottom w:type="dxa" w:w="80"/>
              <w:right w:type="dxa" w:w="120"/>
            </w:tcMar>
            <w:vAlign w:val="center"/>
          </w:tcPr>
          <w:p>
            <w:pPr>
              <w:pStyle w:val="MdTableCell"/>
              <w:jc w:val="left"/>
            </w:pPr>
            <w:r>
              <w:t xml:space="preserve">School Administrators &amp; District IT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SSO/Rostering, admin dashboards, shared curriculum libraries, custom data privacy agreements. </w:t>
            </w:r>
            <w:r>
              <w:rPr>
                <w:rStyle w:val="MdEm"/>
                <w:i/>
                <w:iCs/>
              </w:rPr>
              <w:t xml:space="preserve">Includes HD TTS Audio &amp; Voice Cloning options.</w:t>
            </w:r>
          </w:p>
        </w:tc>
      </w:tr>
    </w:tbl>
    <w:p>
      <w:pPr>
        <w:pStyle w:val="MdParagraph"/>
      </w:pPr>
      <w:r>
        <w:rPr>
          <w:rStyle w:val="MdStrong"/>
          <w:b/>
          <w:bCs/>
        </w:rPr>
        <w:t xml:space="preserve">Strategic Rationale for K-12:</w:t>
      </w:r>
      <w:r>
        <w:t xml:space="preserve"> The $12/month price point for Teacher Pro aligns perfectly with the established ceiling for teacher out-of-pocket spending, mirroring successful tools like MagicSchool AI [6]. The generous 300 credits allow a teacher to generate several comprehensive units per month. By restricting TTS audio to the paid tiers, the platform creates a compelling upgrade trigger for teachers who want to create accessible, read-aloud content for younger students or diverse learners. The true revenue engine remains the School/District tier, priced dynamically based on student enrollment [1].</w:t>
      </w:r>
    </w:p>
    <w:p>
      <w:pPr>
        <w:pStyle w:val="MdSpace"/>
        <w:spacing w:before="0" w:after="60"/>
      </w:pPr>
    </w:p>
    <w:p>
      <w:pPr>
        <w:pStyle w:val="Heading3"/>
        <w:pStyle w:val="MdHeading3"/>
      </w:pPr>
      <w:r>
        <w:t xml:space="preserve">3.2 The Corporate Training Track</w:t>
      </w:r>
    </w:p>
    <w:p>
      <w:pPr>
        <w:pStyle w:val="MdParagraph"/>
      </w:pPr>
      <w:r>
        <w:t xml:space="preserve">This track is designed to maximize revenue from professional instructional designers and corporate L&amp;D teams who require high-volume generation, advanced SCORM capabilities, and professional-grade audio narration.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Tier</w:t>
            </w:r>
          </w:p>
        </w:tc>
        <w:tc>
          <w:tcPr>
            <w:tcMar>
              <w:top w:type="dxa" w:w="100"/>
              <w:left w:type="dxa" w:w="120"/>
              <w:bottom w:type="dxa" w:w="100"/>
              <w:right w:type="dxa" w:w="120"/>
            </w:tcMar>
            <w:vAlign w:val="center"/>
          </w:tcPr>
          <w:p>
            <w:pPr>
              <w:pStyle w:val="MdTableHeader"/>
              <w:jc w:val="left"/>
            </w:pPr>
            <w:r>
              <w:t xml:space="preserve">Monthly Price (Billed Annually)</w:t>
            </w:r>
          </w:p>
        </w:tc>
        <w:tc>
          <w:tcPr>
            <w:tcMar>
              <w:top w:type="dxa" w:w="100"/>
              <w:left w:type="dxa" w:w="120"/>
              <w:bottom w:type="dxa" w:w="100"/>
              <w:right w:type="dxa" w:w="120"/>
            </w:tcMar>
            <w:vAlign w:val="center"/>
          </w:tcPr>
          <w:p>
            <w:pPr>
              <w:pStyle w:val="MdTableHeader"/>
              <w:jc w:val="left"/>
            </w:pPr>
            <w:r>
              <w:t xml:space="preserve">Monthly AI Credits</w:t>
            </w:r>
          </w:p>
        </w:tc>
        <w:tc>
          <w:tcPr>
            <w:tcMar>
              <w:top w:type="dxa" w:w="100"/>
              <w:left w:type="dxa" w:w="120"/>
              <w:bottom w:type="dxa" w:w="100"/>
              <w:right w:type="dxa" w:w="120"/>
            </w:tcMar>
            <w:vAlign w:val="center"/>
          </w:tcPr>
          <w:p>
            <w:pPr>
              <w:pStyle w:val="MdTableHeader"/>
              <w:jc w:val="left"/>
            </w:pPr>
            <w:r>
              <w:t xml:space="preserve">Target Audience</w:t>
            </w:r>
          </w:p>
        </w:tc>
        <w:tc>
          <w:tcPr>
            <w:tcBorders>
              <w:right w:val="none"/>
            </w:tcBorders>
            <w:tcMar>
              <w:top w:type="dxa" w:w="100"/>
              <w:left w:type="dxa" w:w="120"/>
              <w:bottom w:type="dxa" w:w="100"/>
              <w:right w:type="dxa" w:w="120"/>
            </w:tcMar>
            <w:vAlign w:val="center"/>
          </w:tcPr>
          <w:p>
            <w:pPr>
              <w:pStyle w:val="MdTableHeader"/>
              <w:jc w:val="left"/>
            </w:pPr>
            <w:r>
              <w:t xml:space="preserve">Key Features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 Creator</w:t>
            </w:r>
          </w:p>
        </w:tc>
        <w:tc>
          <w:tcPr>
            <w:tcMar>
              <w:top w:type="dxa" w:w="80"/>
              <w:left w:type="dxa" w:w="120"/>
              <w:bottom w:type="dxa" w:w="80"/>
              <w:right w:type="dxa" w:w="120"/>
            </w:tcMar>
            <w:vAlign w:val="center"/>
          </w:tcPr>
          <w:p>
            <w:pPr>
              <w:pStyle w:val="MdTableCell"/>
              <w:jc w:val="left"/>
            </w:pPr>
            <w:r>
              <w:t xml:space="preserve">$79 / user</w:t>
            </w:r>
          </w:p>
        </w:tc>
        <w:tc>
          <w:tcPr>
            <w:tcMar>
              <w:top w:type="dxa" w:w="80"/>
              <w:left w:type="dxa" w:w="120"/>
              <w:bottom w:type="dxa" w:w="80"/>
              <w:right w:type="dxa" w:w="120"/>
            </w:tcMar>
            <w:vAlign w:val="center"/>
          </w:tcPr>
          <w:p>
            <w:pPr>
              <w:pStyle w:val="MdTableCell"/>
              <w:jc w:val="left"/>
            </w:pPr>
            <w:r>
              <w:t xml:space="preserve">500</w:t>
            </w:r>
          </w:p>
        </w:tc>
        <w:tc>
          <w:tcPr>
            <w:tcMar>
              <w:top w:type="dxa" w:w="80"/>
              <w:left w:type="dxa" w:w="120"/>
              <w:bottom w:type="dxa" w:w="80"/>
              <w:right w:type="dxa" w:w="120"/>
            </w:tcMar>
            <w:vAlign w:val="center"/>
          </w:tcPr>
          <w:p>
            <w:pPr>
              <w:pStyle w:val="MdTableCell"/>
              <w:jc w:val="left"/>
            </w:pPr>
            <w:r>
              <w:t xml:space="preserve">Freelance IDs &amp; Subject Matter Experts</w:t>
            </w:r>
          </w:p>
        </w:tc>
        <w:tc>
          <w:tcPr>
            <w:tcBorders>
              <w:right w:val="none"/>
            </w:tcBorders>
            <w:tcMar>
              <w:top w:type="dxa" w:w="80"/>
              <w:left w:type="dxa" w:w="120"/>
              <w:bottom w:type="dxa" w:w="80"/>
              <w:right w:type="dxa" w:w="120"/>
            </w:tcMar>
            <w:vAlign w:val="center"/>
          </w:tcPr>
          <w:p>
            <w:pPr>
              <w:pStyle w:val="MdTableCell"/>
              <w:jc w:val="left"/>
            </w:pPr>
            <w:r>
              <w:t xml:space="preserve">Full AI generation, all interactive templates, SCORM 1.2/2004 exports, premium support. </w:t>
            </w:r>
            <w:r>
              <w:rPr>
                <w:rStyle w:val="MdEm"/>
                <w:i/>
                <w:iCs/>
              </w:rPr>
              <w:t xml:space="preserve">Includes Standard &amp; HD TTS Audio.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Business Team</w:t>
            </w:r>
          </w:p>
        </w:tc>
        <w:tc>
          <w:tcPr>
            <w:tcMar>
              <w:top w:type="dxa" w:w="80"/>
              <w:left w:type="dxa" w:w="120"/>
              <w:bottom w:type="dxa" w:w="80"/>
              <w:right w:type="dxa" w:w="120"/>
            </w:tcMar>
            <w:vAlign w:val="center"/>
          </w:tcPr>
          <w:p>
            <w:pPr>
              <w:pStyle w:val="MdTableCell"/>
              <w:jc w:val="left"/>
            </w:pPr>
            <w:r>
              <w:t xml:space="preserve">$149 / user</w:t>
            </w:r>
          </w:p>
        </w:tc>
        <w:tc>
          <w:tcPr>
            <w:tcMar>
              <w:top w:type="dxa" w:w="80"/>
              <w:left w:type="dxa" w:w="120"/>
              <w:bottom w:type="dxa" w:w="80"/>
              <w:right w:type="dxa" w:w="120"/>
            </w:tcMar>
            <w:vAlign w:val="center"/>
          </w:tcPr>
          <w:p>
            <w:pPr>
              <w:pStyle w:val="MdTableCell"/>
              <w:jc w:val="left"/>
            </w:pPr>
            <w:r>
              <w:t xml:space="preserve">1,500 (Pooled)</w:t>
            </w:r>
          </w:p>
        </w:tc>
        <w:tc>
          <w:tcPr>
            <w:tcMar>
              <w:top w:type="dxa" w:w="80"/>
              <w:left w:type="dxa" w:w="120"/>
              <w:bottom w:type="dxa" w:w="80"/>
              <w:right w:type="dxa" w:w="120"/>
            </w:tcMar>
            <w:vAlign w:val="center"/>
          </w:tcPr>
          <w:p>
            <w:pPr>
              <w:pStyle w:val="MdTableCell"/>
              <w:jc w:val="left"/>
            </w:pPr>
            <w:r>
              <w:t xml:space="preserve">Corporate L&amp;D Teams (3+ users)</w:t>
            </w:r>
          </w:p>
        </w:tc>
        <w:tc>
          <w:tcPr>
            <w:tcBorders>
              <w:right w:val="none"/>
            </w:tcBorders>
            <w:tcMar>
              <w:top w:type="dxa" w:w="80"/>
              <w:left w:type="dxa" w:w="120"/>
              <w:bottom w:type="dxa" w:w="80"/>
              <w:right w:type="dxa" w:w="120"/>
            </w:tcMar>
            <w:vAlign w:val="center"/>
          </w:tcPr>
          <w:p>
            <w:pPr>
              <w:pStyle w:val="MdTableCell"/>
              <w:jc w:val="left"/>
            </w:pPr>
            <w:r>
              <w:t xml:space="preserve">Team collaboration, shared asset libraries, brand kit management, advanced analytics. </w:t>
            </w:r>
            <w:r>
              <w:rPr>
                <w:rStyle w:val="MdEm"/>
                <w:i/>
                <w:iCs/>
              </w:rPr>
              <w:t xml:space="preserve">Includes HD TTS Audio &amp; Basic Voice Cloning.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Enterprise</w:t>
            </w:r>
          </w:p>
        </w:tc>
        <w:tc>
          <w:tcPr>
            <w:tcBorders>
              <w:bottom w:val="single" w:color="E1E4E8" w:sz="4"/>
            </w:tcBorders>
            <w:tcMar>
              <w:top w:type="dxa" w:w="80"/>
              <w:left w:type="dxa" w:w="120"/>
              <w:bottom w:type="dxa" w:w="80"/>
              <w:right w:type="dxa" w:w="120"/>
            </w:tcMar>
            <w:vAlign w:val="center"/>
          </w:tcPr>
          <w:p>
            <w:pPr>
              <w:pStyle w:val="MdTableCell"/>
              <w:jc w:val="left"/>
            </w:pPr>
            <w:r>
              <w:t xml:space="preserve">Custom</w:t>
            </w:r>
          </w:p>
        </w:tc>
        <w:tc>
          <w:tcPr>
            <w:tcBorders>
              <w:bottom w:val="single" w:color="E1E4E8" w:sz="4"/>
            </w:tcBorders>
            <w:tcMar>
              <w:top w:type="dxa" w:w="80"/>
              <w:left w:type="dxa" w:w="120"/>
              <w:bottom w:type="dxa" w:w="80"/>
              <w:right w:type="dxa" w:w="120"/>
            </w:tcMar>
            <w:vAlign w:val="center"/>
          </w:tcPr>
          <w:p>
            <w:pPr>
              <w:pStyle w:val="MdTableCell"/>
              <w:jc w:val="left"/>
            </w:pPr>
            <w:r>
              <w:t xml:space="preserve">Custom</w:t>
            </w:r>
          </w:p>
        </w:tc>
        <w:tc>
          <w:tcPr>
            <w:tcBorders>
              <w:bottom w:val="single" w:color="E1E4E8" w:sz="4"/>
            </w:tcBorders>
            <w:tcMar>
              <w:top w:type="dxa" w:w="80"/>
              <w:left w:type="dxa" w:w="120"/>
              <w:bottom w:type="dxa" w:w="80"/>
              <w:right w:type="dxa" w:w="120"/>
            </w:tcMar>
            <w:vAlign w:val="center"/>
          </w:tcPr>
          <w:p>
            <w:pPr>
              <w:pStyle w:val="MdTableCell"/>
              <w:jc w:val="left"/>
            </w:pPr>
            <w:r>
              <w:t xml:space="preserve">Large Corporations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Custom AI model training, advanced security (SOC2), API access, dedicated account manager. </w:t>
            </w:r>
            <w:r>
              <w:rPr>
                <w:rStyle w:val="MdEm"/>
                <w:i/>
                <w:iCs/>
              </w:rPr>
              <w:t xml:space="preserve">Unlimited HD TTS &amp; Enterprise Voice Cloning.</w:t>
            </w:r>
          </w:p>
        </w:tc>
      </w:tr>
    </w:tbl>
    <w:p>
      <w:pPr>
        <w:pStyle w:val="MdParagraph"/>
      </w:pPr>
      <w:r>
        <w:rPr>
          <w:rStyle w:val="MdStrong"/>
          <w:b/>
          <w:bCs/>
        </w:rPr>
        <w:t xml:space="preserve">Strategic Rationale for Corporate:</w:t>
      </w:r>
      <w:r>
        <w:t xml:space="preserve"> The $79/month starting price positions the tool as a premium, high-ROI investment that remains significantly cheaper than legacy tools like Articulate 360. The credit allotments are higher here because corporate courses (especially "Comprehensive Courses" using ABCD objectives, complex branching, and full HD audio narration) consume significantly more AI tokens and TTS API calls than K-12 lessons. The inclusion of HD audio and voice cloning at higher tiers serves as a powerful differentiator.</w:t>
      </w:r>
    </w:p>
    <w:p>
      <w:pPr>
        <w:pStyle w:val="MdSpace"/>
        <w:spacing w:before="0" w:after="60"/>
      </w:pPr>
    </w:p>
    <w:p>
      <w:pPr>
        <w:pStyle w:val="Heading2"/>
        <w:pStyle w:val="MdHeading2"/>
      </w:pPr>
      <w:r>
        <w:t xml:space="preserve">4. The Unified Credit System &amp; Cost Management</w:t>
      </w:r>
    </w:p>
    <w:p>
      <w:pPr>
        <w:pStyle w:val="MdParagraph"/>
      </w:pPr>
      <w:r>
        <w:t xml:space="preserve">The core mechanism for managing the variable costs of Large Language Models (LLMs) and Text-to-Speech (TTS) APIs remains the credit system. By abstracting API costs into "credits," the platform ensures profitability regardless of how users interact with the AI.</w:t>
      </w:r>
    </w:p>
    <w:p>
      <w:pPr>
        <w:pStyle w:val="MdSpace"/>
        <w:spacing w:before="0" w:after="60"/>
      </w:pPr>
    </w:p>
    <w:p>
      <w:pPr>
        <w:pStyle w:val="Heading3"/>
        <w:pStyle w:val="MdHeading3"/>
      </w:pPr>
      <w:r>
        <w:t xml:space="preserve">4.1 Credit Consumption Rates</w:t>
      </w:r>
    </w:p>
    <w:p>
      <w:pPr>
        <w:pStyle w:val="MdParagraph"/>
      </w:pPr>
      <w:r>
        <w:t xml:space="preserve">The cost of generation must scale with the complexity of the output and the utilization of expensive APIs like OpenAI's TTS. Audio generation is significantly more expensive than text generation and must be priced accordingly in the credit economy.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Action / Feature</w:t>
            </w:r>
          </w:p>
        </w:tc>
        <w:tc>
          <w:tcPr>
            <w:tcMar>
              <w:top w:type="dxa" w:w="100"/>
              <w:left w:type="dxa" w:w="120"/>
              <w:bottom w:type="dxa" w:w="100"/>
              <w:right w:type="dxa" w:w="120"/>
            </w:tcMar>
            <w:vAlign w:val="center"/>
          </w:tcPr>
          <w:p>
            <w:pPr>
              <w:pStyle w:val="MdTableHeader"/>
              <w:jc w:val="left"/>
            </w:pPr>
            <w:r>
              <w:t xml:space="preserve">Credit Cost</w:t>
            </w:r>
          </w:p>
        </w:tc>
        <w:tc>
          <w:tcPr>
            <w:tcBorders>
              <w:right w:val="none"/>
            </w:tcBorders>
            <w:tcMar>
              <w:top w:type="dxa" w:w="100"/>
              <w:left w:type="dxa" w:w="120"/>
              <w:bottom w:type="dxa" w:w="100"/>
              <w:right w:type="dxa" w:w="120"/>
            </w:tcMar>
            <w:vAlign w:val="center"/>
          </w:tcPr>
          <w:p>
            <w:pPr>
              <w:pStyle w:val="MdTableHeader"/>
              <w:jc w:val="left"/>
            </w:pPr>
            <w:r>
              <w:t xml:space="preserve">Justification &amp; Technical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Quick Overview / Mini-Lesson</w:t>
            </w:r>
          </w:p>
        </w:tc>
        <w:tc>
          <w:tcPr>
            <w:tcMar>
              <w:top w:type="dxa" w:w="80"/>
              <w:left w:type="dxa" w:w="120"/>
              <w:bottom w:type="dxa" w:w="80"/>
              <w:right w:type="dxa" w:w="120"/>
            </w:tcMar>
            <w:vAlign w:val="center"/>
          </w:tcPr>
          <w:p>
            <w:pPr>
              <w:pStyle w:val="MdTableCell"/>
              <w:jc w:val="left"/>
            </w:pPr>
            <w:r>
              <w:t xml:space="preserve">20 Credits</w:t>
            </w:r>
          </w:p>
        </w:tc>
        <w:tc>
          <w:tcPr>
            <w:tcBorders>
              <w:right w:val="none"/>
            </w:tcBorders>
            <w:tcMar>
              <w:top w:type="dxa" w:w="80"/>
              <w:left w:type="dxa" w:w="120"/>
              <w:bottom w:type="dxa" w:w="80"/>
              <w:right w:type="dxa" w:w="120"/>
            </w:tcMar>
            <w:vAlign w:val="center"/>
          </w:tcPr>
          <w:p>
            <w:pPr>
              <w:pStyle w:val="MdTableCell"/>
              <w:jc w:val="left"/>
            </w:pPr>
            <w:r>
              <w:t xml:space="preserve">Low complexity text generation; minimal slide generation.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Standard Training / Lesson</w:t>
            </w:r>
          </w:p>
        </w:tc>
        <w:tc>
          <w:tcPr>
            <w:tcMar>
              <w:top w:type="dxa" w:w="80"/>
              <w:left w:type="dxa" w:w="120"/>
              <w:bottom w:type="dxa" w:w="80"/>
              <w:right w:type="dxa" w:w="120"/>
            </w:tcMar>
            <w:vAlign w:val="center"/>
          </w:tcPr>
          <w:p>
            <w:pPr>
              <w:pStyle w:val="MdTableCell"/>
              <w:jc w:val="left"/>
            </w:pPr>
            <w:r>
              <w:t xml:space="preserve">50 Credits</w:t>
            </w:r>
          </w:p>
        </w:tc>
        <w:tc>
          <w:tcPr>
            <w:tcBorders>
              <w:right w:val="none"/>
            </w:tcBorders>
            <w:tcMar>
              <w:top w:type="dxa" w:w="80"/>
              <w:left w:type="dxa" w:w="120"/>
              <w:bottom w:type="dxa" w:w="80"/>
              <w:right w:type="dxa" w:w="120"/>
            </w:tcMar>
            <w:vAlign w:val="center"/>
          </w:tcPr>
          <w:p>
            <w:pPr>
              <w:pStyle w:val="MdTableCell"/>
              <w:jc w:val="left"/>
            </w:pPr>
            <w:r>
              <w:t xml:space="preserve">Medium complexity text generation; standard objectives.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Comprehensive Course / Unit</w:t>
            </w:r>
          </w:p>
        </w:tc>
        <w:tc>
          <w:tcPr>
            <w:tcMar>
              <w:top w:type="dxa" w:w="80"/>
              <w:left w:type="dxa" w:w="120"/>
              <w:bottom w:type="dxa" w:w="80"/>
              <w:right w:type="dxa" w:w="120"/>
            </w:tcMar>
            <w:vAlign w:val="center"/>
          </w:tcPr>
          <w:p>
            <w:pPr>
              <w:pStyle w:val="MdTableCell"/>
              <w:jc w:val="left"/>
            </w:pPr>
            <w:r>
              <w:t xml:space="preserve">100 Credits</w:t>
            </w:r>
          </w:p>
        </w:tc>
        <w:tc>
          <w:tcPr>
            <w:tcBorders>
              <w:right w:val="none"/>
            </w:tcBorders>
            <w:tcMar>
              <w:top w:type="dxa" w:w="80"/>
              <w:left w:type="dxa" w:w="120"/>
              <w:bottom w:type="dxa" w:w="80"/>
              <w:right w:type="dxa" w:w="120"/>
            </w:tcMar>
            <w:vAlign w:val="center"/>
          </w:tcPr>
          <w:p>
            <w:pPr>
              <w:pStyle w:val="MdTableCell"/>
              <w:jc w:val="left"/>
            </w:pPr>
            <w:r>
              <w:t xml:space="preserve">High complexity text generation; deep curriculum alignment; advanced interactions.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Generate Standard TTS Audio (Per Slide)</w:t>
            </w:r>
          </w:p>
        </w:tc>
        <w:tc>
          <w:tcPr>
            <w:tcMar>
              <w:top w:type="dxa" w:w="80"/>
              <w:left w:type="dxa" w:w="120"/>
              <w:bottom w:type="dxa" w:w="80"/>
              <w:right w:type="dxa" w:w="120"/>
            </w:tcMar>
            <w:vAlign w:val="center"/>
          </w:tcPr>
          <w:p>
            <w:pPr>
              <w:pStyle w:val="MdTableCell"/>
              <w:jc w:val="left"/>
            </w:pPr>
            <w:r>
              <w:t xml:space="preserve">5 Credits</w:t>
            </w:r>
          </w:p>
        </w:tc>
        <w:tc>
          <w:tcPr>
            <w:tcBorders>
              <w:right w:val="none"/>
            </w:tcBorders>
            <w:tcMar>
              <w:top w:type="dxa" w:w="80"/>
              <w:left w:type="dxa" w:w="120"/>
              <w:bottom w:type="dxa" w:w="80"/>
              <w:right w:type="dxa" w:w="120"/>
            </w:tcMar>
            <w:vAlign w:val="center"/>
          </w:tcPr>
          <w:p>
            <w:pPr>
              <w:pStyle w:val="MdTableCell"/>
              <w:jc w:val="left"/>
            </w:pPr>
            <w:r>
              <w:t xml:space="preserve">Calls standard TTS API (e.g., OpenAI </w:t>
            </w:r>
            <w:r>
              <w:rPr>
                <w:rStyle w:val="MdCode"/>
                <w:u w:val="single"/>
              </w:rPr>
              <w:t xml:space="preserve">tts-1</w:t>
            </w:r>
            <w:r>
              <w:t xml:space="preserve">); moderate API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Generate HD TTS Audio (Per Slide)</w:t>
            </w:r>
          </w:p>
        </w:tc>
        <w:tc>
          <w:tcPr>
            <w:tcMar>
              <w:top w:type="dxa" w:w="80"/>
              <w:left w:type="dxa" w:w="120"/>
              <w:bottom w:type="dxa" w:w="80"/>
              <w:right w:type="dxa" w:w="120"/>
            </w:tcMar>
            <w:vAlign w:val="center"/>
          </w:tcPr>
          <w:p>
            <w:pPr>
              <w:pStyle w:val="MdTableCell"/>
              <w:jc w:val="left"/>
            </w:pPr>
            <w:r>
              <w:t xml:space="preserve">10 Credits</w:t>
            </w:r>
          </w:p>
        </w:tc>
        <w:tc>
          <w:tcPr>
            <w:tcBorders>
              <w:right w:val="none"/>
            </w:tcBorders>
            <w:tcMar>
              <w:top w:type="dxa" w:w="80"/>
              <w:left w:type="dxa" w:w="120"/>
              <w:bottom w:type="dxa" w:w="80"/>
              <w:right w:type="dxa" w:w="120"/>
            </w:tcMar>
            <w:vAlign w:val="center"/>
          </w:tcPr>
          <w:p>
            <w:pPr>
              <w:pStyle w:val="MdTableCell"/>
              <w:jc w:val="left"/>
            </w:pPr>
            <w:r>
              <w:t xml:space="preserve">Calls high-definition TTS API (e.g., OpenAI </w:t>
            </w:r>
            <w:r>
              <w:rPr>
                <w:rStyle w:val="MdCode"/>
                <w:u w:val="single"/>
              </w:rPr>
              <w:t xml:space="preserve">tts-1-hd</w:t>
            </w:r>
            <w:r>
              <w:t xml:space="preserve">); higher API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Generate Custom Voice Clone Audio (Per Slide)</w:t>
            </w:r>
          </w:p>
        </w:tc>
        <w:tc>
          <w:tcPr>
            <w:tcMar>
              <w:top w:type="dxa" w:w="80"/>
              <w:left w:type="dxa" w:w="120"/>
              <w:bottom w:type="dxa" w:w="80"/>
              <w:right w:type="dxa" w:w="120"/>
            </w:tcMar>
            <w:vAlign w:val="center"/>
          </w:tcPr>
          <w:p>
            <w:pPr>
              <w:pStyle w:val="MdTableCell"/>
              <w:jc w:val="left"/>
            </w:pPr>
            <w:r>
              <w:t xml:space="preserve">20 Credits</w:t>
            </w:r>
          </w:p>
        </w:tc>
        <w:tc>
          <w:tcPr>
            <w:tcBorders>
              <w:right w:val="none"/>
            </w:tcBorders>
            <w:tcMar>
              <w:top w:type="dxa" w:w="80"/>
              <w:left w:type="dxa" w:w="120"/>
              <w:bottom w:type="dxa" w:w="80"/>
              <w:right w:type="dxa" w:w="120"/>
            </w:tcMar>
            <w:vAlign w:val="center"/>
          </w:tcPr>
          <w:p>
            <w:pPr>
              <w:pStyle w:val="MdTableCell"/>
              <w:jc w:val="left"/>
            </w:pPr>
            <w:r>
              <w:t xml:space="preserve">Utilizes premium voice cloning APIs; highest API cost and processing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File Import (PPT, PDF to Course)</w:t>
            </w:r>
          </w:p>
        </w:tc>
        <w:tc>
          <w:tcPr>
            <w:tcMar>
              <w:top w:type="dxa" w:w="80"/>
              <w:left w:type="dxa" w:w="120"/>
              <w:bottom w:type="dxa" w:w="80"/>
              <w:right w:type="dxa" w:w="120"/>
            </w:tcMar>
            <w:vAlign w:val="center"/>
          </w:tcPr>
          <w:p>
            <w:pPr>
              <w:pStyle w:val="MdTableCell"/>
              <w:jc w:val="left"/>
            </w:pPr>
            <w:r>
              <w:t xml:space="preserve">40 Credits</w:t>
            </w:r>
          </w:p>
        </w:tc>
        <w:tc>
          <w:tcPr>
            <w:tcBorders>
              <w:right w:val="none"/>
            </w:tcBorders>
            <w:tcMar>
              <w:top w:type="dxa" w:w="80"/>
              <w:left w:type="dxa" w:w="120"/>
              <w:bottom w:type="dxa" w:w="80"/>
              <w:right w:type="dxa" w:w="120"/>
            </w:tcMar>
            <w:vAlign w:val="center"/>
          </w:tcPr>
          <w:p>
            <w:pPr>
              <w:pStyle w:val="MdTableCell"/>
              <w:jc w:val="left"/>
            </w:pPr>
            <w:r>
              <w:t xml:space="preserve">Requires OCR/parsing and extensive AI structuring before generation.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Generate Game Template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25 Credits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Requires specific structured JSON output (e.g., Jeopardy board).</w:t>
            </w:r>
          </w:p>
        </w:tc>
      </w:tr>
    </w:tbl>
    <w:p>
      <w:pPr>
        <w:pStyle w:val="MdParagraph"/>
      </w:pPr>
      <w:r>
        <w:rPr>
          <w:rStyle w:val="MdEm"/>
          <w:i/>
          <w:iCs/>
        </w:rPr>
        <w:t xml:space="preserve">Note: A 15-slide Standard Training course with Standard TTS audio on every slide would cost 50 credits (base generation) + 75 credits (15 slides * 5 credits/slide for audio) = 125 credits total.</w:t>
      </w:r>
    </w:p>
    <w:p>
      <w:pPr>
        <w:pStyle w:val="MdSpace"/>
        <w:spacing w:before="0" w:after="60"/>
      </w:pPr>
    </w:p>
    <w:p>
      <w:pPr>
        <w:pStyle w:val="Heading3"/>
        <w:pStyle w:val="MdHeading3"/>
      </w:pPr>
      <w:r>
        <w:t xml:space="preserve">4.2 Pay-As-You-Go Overages</w:t>
      </w:r>
    </w:p>
    <w:p>
      <w:pPr>
        <w:pStyle w:val="MdParagraph"/>
      </w:pPr>
      <w:r>
        <w:t xml:space="preserve">When users exhaust their monthly subscription credits—which will happen more frequently with the introduction of credit-intensive TTS features—they must have a frictionless path to purchase more. This is vital for capturing revenue during peak creation seasons.</w:t>
      </w:r>
    </w:p>
    <w:p>
      <w:pPr>
        <w:pStyle w:val="MdSpace"/>
        <w:spacing w:before="0" w:after="60"/>
      </w:pPr>
    </w:p>
    <w:p>
      <w:pPr>
        <w:pStyle w:val="MdListItem"/>
        <w:numPr>
          <w:ilvl w:val="0"/>
          <w:numId w:val="2"/>
        </w:numPr>
      </w:pPr>
      <w:r>
        <w:rPr>
          <w:rStyle w:val="MdStrong"/>
          <w:b/>
          <w:bCs/>
        </w:rPr>
        <w:t xml:space="preserve">Standard Credit Pack:</w:t>
      </w:r>
      <w:r>
        <w:t xml:space="preserve"> $25 for 100 credits.</w:t>
      </w:r>
    </w:p>
    <w:p>
      <w:pPr>
        <w:pStyle w:val="MdListItem"/>
        <w:numPr>
          <w:ilvl w:val="0"/>
          <w:numId w:val="2"/>
        </w:numPr>
      </w:pPr>
      <w:r>
        <w:rPr>
          <w:rStyle w:val="MdStrong"/>
          <w:b/>
          <w:bCs/>
        </w:rPr>
        <w:t xml:space="preserve">Volume Discount Pack:</w:t>
      </w:r>
      <w:r>
        <w:t xml:space="preserve"> $100 for 500 credits.</w:t>
      </w:r>
    </w:p>
    <w:p>
      <w:pPr>
        <w:pStyle w:val="MdSpace"/>
        <w:spacing w:before="0" w:after="60"/>
      </w:pPr>
    </w:p>
    <w:p>
      <w:pPr>
        <w:pStyle w:val="MdParagraph"/>
      </w:pPr>
      <w:r>
        <w:t xml:space="preserve">With TTS integration, the platform's API costs increase. Assuming OpenAI TTS pricing of $15 per 1M characters (Standard) and $30 per 1M characters (HD), the credit system ensures that the platform maintains a strong gross margin (estimated 50-60%) even when users heavily utilize audio generation.</w:t>
      </w:r>
    </w:p>
    <w:p>
      <w:pPr>
        <w:pStyle w:val="MdSpace"/>
        <w:spacing w:before="0" w:after="60"/>
      </w:pPr>
    </w:p>
    <w:p>
      <w:pPr>
        <w:pStyle w:val="Heading2"/>
        <w:pStyle w:val="MdHeading2"/>
      </w:pPr>
      <w:r>
        <w:t xml:space="preserve">5. Strategic Implementation Recommendations</w:t>
      </w:r>
    </w:p>
    <w:p>
      <w:pPr>
        <w:pStyle w:val="MdParagraph"/>
      </w:pPr>
      <w:r>
        <w:t xml:space="preserve">To successfully deploy this bifurcated pricing model with TTS integration, several operational and marketing strategies must be implemented.</w:t>
      </w:r>
    </w:p>
    <w:p>
      <w:pPr>
        <w:pStyle w:val="MdSpace"/>
        <w:spacing w:before="0" w:after="60"/>
      </w:pPr>
    </w:p>
    <w:p>
      <w:pPr>
        <w:pStyle w:val="Heading3"/>
        <w:pStyle w:val="MdHeading3"/>
      </w:pPr>
      <w:r>
        <w:t xml:space="preserve">5.1 Prevent Cross-Market Cannibalization</w:t>
      </w:r>
    </w:p>
    <w:p>
      <w:pPr>
        <w:pStyle w:val="MdParagraph"/>
      </w:pPr>
      <w:r>
        <w:t xml:space="preserve">A significant risk in offering a $12/month Education tier alongside a $79/month Corporate tier is that corporate users will attempt to purchase the cheaper education plan. To mitigate this:</w:t>
      </w:r>
    </w:p>
    <w:p>
      <w:pPr>
        <w:pStyle w:val="MdListItem"/>
        <w:numPr>
          <w:ilvl w:val="0"/>
          <w:numId w:val="2"/>
        </w:numPr>
      </w:pPr>
      <w:r>
        <w:rPr>
          <w:rStyle w:val="MdStrong"/>
          <w:b/>
          <w:bCs/>
        </w:rPr>
        <w:t xml:space="preserve">Verification:</w:t>
      </w:r>
      <w:r>
        <w:t xml:space="preserve"> Require a valid </w:t>
      </w:r>
      <w:r>
        <w:rPr>
          <w:rStyle w:val="MdCode"/>
          <w:u w:val="single"/>
        </w:rPr>
        <w:t xml:space="preserve">.edu</w:t>
      </w:r>
      <w:r>
        <w:t xml:space="preserve"> or </w:t>
      </w:r>
      <w:r>
        <w:rPr>
          <w:rStyle w:val="MdCode"/>
          <w:u w:val="single"/>
        </w:rPr>
        <w:t xml:space="preserve">.k12.state.us</w:t>
      </w:r>
      <w:r>
        <w:t xml:space="preserve"> email address to unlock the Education pricing track.</w:t>
      </w:r>
    </w:p>
    <w:p>
      <w:pPr>
        <w:pStyle w:val="MdListItem"/>
        <w:numPr>
          <w:ilvl w:val="0"/>
          <w:numId w:val="2"/>
        </w:numPr>
      </w:pPr>
      <w:r>
        <w:rPr>
          <w:rStyle w:val="MdStrong"/>
          <w:b/>
          <w:bCs/>
        </w:rPr>
        <w:t xml:space="preserve">Feature Gating:</w:t>
      </w:r>
      <w:r>
        <w:t xml:space="preserve"> Restrict high-value corporate features (such as SCORM 2004 export, corporate brand kits, and HD/Voice Clone audio options) exclusively to the Corporate track or higher Education tiers.</w:t>
      </w:r>
    </w:p>
    <w:p>
      <w:pPr>
        <w:pStyle w:val="MdSpace"/>
        <w:spacing w:before="0" w:after="60"/>
      </w:pPr>
    </w:p>
    <w:p>
      <w:pPr>
        <w:pStyle w:val="Heading3"/>
        <w:pStyle w:val="MdHeading3"/>
      </w:pPr>
      <w:r>
        <w:t xml:space="preserve">5.2 Position TTS as an Accessibility and Engagement Driver</w:t>
      </w:r>
    </w:p>
    <w:p>
      <w:pPr>
        <w:pStyle w:val="MdParagraph"/>
      </w:pPr>
      <w:r>
        <w:t xml:space="preserve">In the K-12 market, market TTS audio not just as a convenience, but as a critical </w:t>
      </w:r>
      <w:r>
        <w:rPr>
          <w:rStyle w:val="MdStrong"/>
          <w:b/>
          <w:bCs/>
        </w:rPr>
        <w:t xml:space="preserve">Universal Design for Learning (UDL)</w:t>
      </w:r>
      <w:r>
        <w:t xml:space="preserve"> and accessibility feature. Audio narration supports early readers, English Language Learners (ELLs), and students with IEPs. This positioning makes the Teacher Pro subscription highly justifiable and supports district-wide enterprise sales pitches.</w:t>
      </w:r>
    </w:p>
    <w:p>
      <w:pPr>
        <w:pStyle w:val="MdSpace"/>
        <w:spacing w:before="0" w:after="60"/>
      </w:pPr>
    </w:p>
    <w:p>
      <w:pPr>
        <w:pStyle w:val="Heading3"/>
        <w:pStyle w:val="MdHeading3"/>
      </w:pPr>
      <w:r>
        <w:t xml:space="preserve">5.3 Leverage the K-12 Freemium Funnel</w:t>
      </w:r>
    </w:p>
    <w:p>
      <w:pPr>
        <w:pStyle w:val="MdParagraph"/>
      </w:pPr>
      <w:r>
        <w:t xml:space="preserve">The "Teacher Free" tier is a lead generation engine. By omitting TTS audio from the free tier, teachers are incentivized to upgrade to Pro to unlock read-aloud capabilities for their students. When usage from a single domain reaches a critical mass (e.g., 5+ active teachers), this triggers an automated sales sequence targeting the school's principal or district IT director to pitch a site license.</w:t>
      </w:r>
    </w:p>
    <w:p>
      <w:pPr>
        <w:pStyle w:val="MdSpace"/>
        <w:spacing w:before="0" w:after="60"/>
      </w:pPr>
    </w:p>
    <w:p>
      <w:pPr>
        <w:pStyle w:val="Heading2"/>
        <w:pStyle w:val="MdHeading2"/>
      </w:pPr>
      <w:r>
        <w:t xml:space="preserve">6. References</w:t>
      </w:r>
    </w:p>
    <w:p>
      <w:pPr>
        <w:pStyle w:val="MdParagraph"/>
      </w:pPr>
      <w:r>
        <w:t xml:space="preserve">[1] Monetizely. "EdTech Pricing Models: Monetizing Education Technology Effectively." </w:t>
      </w:r>
      <w:hyperlink w:history="1" r:id="rIdy4zlafmopvj_hxvdutofw">
        <w:r>
          <w:rPr>
            <w:rStyle w:val="MdLink"/>
          </w:rPr>
          <w:t xml:space="preserve">https://www.getmonetizely.com/articles/edtech-pricing-models-monetizing-education-technology-effectively</w:t>
        </w:r>
      </w:hyperlink>
      <w:r>
        <w:t xml:space="preserve">[2] EdSurge. "The True Cost of Freemiums in Edtech."</w:t>
      </w:r>
      <w:r>
        <w:br/>
        <w:t xml:space="preserve">[3] Coursebox. "AI Course Creator &amp; LMS Pricing."</w:t>
      </w:r>
      <w:hyperlink w:history="1" r:id="rIdf0rcz-cg5nfzt1ztxbvxf">
        <w:r>
          <w:rPr>
            <w:rStyle w:val="MdLink"/>
          </w:rPr>
          <w:t xml:space="preserve">https://www.coursebox.ai/pricing</w:t>
        </w:r>
      </w:hyperlink>
      <w:r>
        <w:t xml:space="preserve">
[4] AdoptAClassroom.org. "2025 Teacher Spending Survey." </w:t>
      </w:r>
      <w:hyperlink w:history="1" r:id="rId_j71wziyjtudmhohcxnnd">
        <w:r>
          <w:rPr>
            <w:rStyle w:val="MdLink"/>
          </w:rPr>
          <w:t xml:space="preserve">https://www.adoptaclassroom.org/2025/06/09/2025-teacher-survey-spending-stats-classroom-needs/</w:t>
        </w:r>
      </w:hyperlink>
      <w:r>
        <w:t xml:space="preserve">
[5] Edugenius. "AI Education Tools Under $10/Month — Budget-Friendly Options 2026." </w:t>
      </w:r>
      <w:hyperlink w:history="1" r:id="rIdtur2bq2vx8pcobu2x91vf">
        <w:r>
          <w:rPr>
            <w:rStyle w:val="MdLink"/>
          </w:rPr>
          <w:t xml:space="preserve">https://edugenius.app/blog/ai-education-tools-under-10-month-budget</w:t>
        </w:r>
      </w:hyperlink>
      <w:r>
        <w:t xml:space="preserve">
[6] MagicSchool AI. "MagicSchool Pricing &amp; Plans." </w:t>
      </w:r>
      <w:hyperlink w:history="1" r:id="rIdounquzybhd3thuo4j6hc2">
        <w:r>
          <w:rPr>
            <w:rStyle w:val="MdLink"/>
          </w:rPr>
          <w:t xml:space="preserve">https://www.magicschool.ai/pricing</w:t>
        </w:r>
      </w:hyperlink>
      <w:r>
        <w:t xml:space="preserve">
[7] Nearpod. "Pricing Plans and Comparison." </w:t>
      </w:r>
      <w:hyperlink w:history="1" r:id="rIdt9kmt7puzxq7pxzthxa9j">
        <w:r>
          <w:rPr>
            <w:rStyle w:val="MdLink"/>
          </w:rPr>
          <w:t xml:space="preserve">https://nearpod.com/pricing</w:t>
        </w:r>
      </w:hyperlink>
      <w:r>
        <w:t xml:space="preserve">
[8] EdTech Magazine. "K–12 Education Grant Funding Guide for 2026." </w:t>
      </w:r>
      <w:hyperlink w:history="1" r:id="rIdlwfeiqrzfy2z5mgxbzvym">
        <w:r>
          <w:rPr>
            <w:rStyle w:val="MdLink"/>
          </w:rPr>
          <w:t xml:space="preserve">https://edtechmagazine.com/k12/article/2026/03/k-12-education-grant-funding-guide-2026</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4zlafmopvj_hxvdutofw" Type="http://schemas.openxmlformats.org/officeDocument/2006/relationships/hyperlink" Target="https://www.getmonetizely.com/articles/edtech-pricing-models-monetizing-education-technology-effectively" TargetMode="External"/><Relationship Id="rIdf0rcz-cg5nfzt1ztxbvxf" Type="http://schemas.openxmlformats.org/officeDocument/2006/relationships/hyperlink" Target="https://www.coursebox.ai/pricing" TargetMode="External"/><Relationship Id="rId_j71wziyjtudmhohcxnnd" Type="http://schemas.openxmlformats.org/officeDocument/2006/relationships/hyperlink" Target="https://www.adoptaclassroom.org/2025/06/09/2025-teacher-survey-spending-stats-classroom-needs/" TargetMode="External"/><Relationship Id="rIdtur2bq2vx8pcobu2x91vf" Type="http://schemas.openxmlformats.org/officeDocument/2006/relationships/hyperlink" Target="https://edugenius.app/blog/ai-education-tools-under-10-month-budget" TargetMode="External"/><Relationship Id="rIdounquzybhd3thuo4j6hc2" Type="http://schemas.openxmlformats.org/officeDocument/2006/relationships/hyperlink" Target="https://www.magicschool.ai/pricing" TargetMode="External"/><Relationship Id="rIdt9kmt7puzxq7pxzthxa9j" Type="http://schemas.openxmlformats.org/officeDocument/2006/relationships/hyperlink" Target="https://nearpod.com/pricing" TargetMode="External"/><Relationship Id="rIdlwfeiqrzfy2z5mgxbzvym" Type="http://schemas.openxmlformats.org/officeDocument/2006/relationships/hyperlink" Target="https://edtechmagazine.com/k12/article/2026/03/k-12-education-grant-funding-guide-2026"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2026-04-22T09:48:45.274Z</dcterms:created>
  <dcterms:modified xsi:type="dcterms:W3CDTF">2026-04-22T09:48:45.274Z</dcterms:modified>
</cp:coreProperties>
</file>

<file path=docProps/custom.xml><?xml version="1.0" encoding="utf-8"?>
<Properties xmlns="http://schemas.openxmlformats.org/officeDocument/2006/custom-properties" xmlns:vt="http://schemas.openxmlformats.org/officeDocument/2006/docPropsVTypes"/>
</file>