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2131"/>
        <w:tblW w:w="10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1116"/>
        <w:gridCol w:w="1116"/>
        <w:gridCol w:w="1116"/>
        <w:gridCol w:w="1116"/>
        <w:gridCol w:w="1116"/>
        <w:gridCol w:w="1116"/>
        <w:gridCol w:w="1116"/>
        <w:gridCol w:w="1116"/>
        <w:gridCol w:w="1116"/>
      </w:tblGrid>
      <w:tr w:rsidR="00504AEF" w:rsidRPr="0059119A" w:rsidTr="00504AEF">
        <w:trPr>
          <w:trHeight w:val="201"/>
        </w:trPr>
        <w:tc>
          <w:tcPr>
            <w:tcW w:w="870" w:type="dxa"/>
            <w:shd w:val="clear" w:color="auto" w:fill="auto"/>
            <w:noWrap/>
            <w:hideMark/>
          </w:tcPr>
          <w:p w:rsidR="00504AEF" w:rsidRPr="0059119A" w:rsidRDefault="00504AEF" w:rsidP="00504AEF">
            <w:pPr>
              <w:spacing w:after="0" w:line="240" w:lineRule="auto"/>
            </w:pPr>
            <w:bookmarkStart w:id="0" w:name="_GoBack"/>
            <w:bookmarkEnd w:id="0"/>
            <w:r w:rsidRPr="0059119A">
              <w:t>Load Factor</w:t>
            </w:r>
          </w:p>
        </w:tc>
        <w:tc>
          <w:tcPr>
            <w:tcW w:w="1116" w:type="dxa"/>
            <w:shd w:val="clear" w:color="auto" w:fill="auto"/>
            <w:noWrap/>
            <w:hideMark/>
          </w:tcPr>
          <w:p w:rsidR="00504AEF" w:rsidRPr="0059119A" w:rsidRDefault="00504AEF" w:rsidP="00504AEF">
            <w:pPr>
              <w:spacing w:after="0" w:line="240" w:lineRule="auto"/>
            </w:pPr>
            <w:r w:rsidRPr="0059119A">
              <w:t>0.1</w:t>
            </w:r>
          </w:p>
        </w:tc>
        <w:tc>
          <w:tcPr>
            <w:tcW w:w="1116" w:type="dxa"/>
            <w:shd w:val="clear" w:color="auto" w:fill="auto"/>
            <w:noWrap/>
            <w:hideMark/>
          </w:tcPr>
          <w:p w:rsidR="00504AEF" w:rsidRPr="0059119A" w:rsidRDefault="00504AEF" w:rsidP="00504AEF">
            <w:pPr>
              <w:spacing w:after="0" w:line="240" w:lineRule="auto"/>
            </w:pPr>
            <w:r w:rsidRPr="0059119A">
              <w:t>0.2</w:t>
            </w:r>
          </w:p>
        </w:tc>
        <w:tc>
          <w:tcPr>
            <w:tcW w:w="1116" w:type="dxa"/>
            <w:shd w:val="clear" w:color="auto" w:fill="auto"/>
            <w:noWrap/>
            <w:hideMark/>
          </w:tcPr>
          <w:p w:rsidR="00504AEF" w:rsidRPr="0059119A" w:rsidRDefault="00504AEF" w:rsidP="00504AEF">
            <w:pPr>
              <w:spacing w:after="0" w:line="240" w:lineRule="auto"/>
            </w:pPr>
            <w:r w:rsidRPr="0059119A">
              <w:t>0.3</w:t>
            </w:r>
          </w:p>
        </w:tc>
        <w:tc>
          <w:tcPr>
            <w:tcW w:w="1116" w:type="dxa"/>
            <w:shd w:val="clear" w:color="auto" w:fill="auto"/>
            <w:noWrap/>
            <w:hideMark/>
          </w:tcPr>
          <w:p w:rsidR="00504AEF" w:rsidRPr="0059119A" w:rsidRDefault="00504AEF" w:rsidP="00504AEF">
            <w:pPr>
              <w:spacing w:after="0" w:line="240" w:lineRule="auto"/>
            </w:pPr>
            <w:r w:rsidRPr="0059119A">
              <w:t>0.4</w:t>
            </w:r>
          </w:p>
        </w:tc>
        <w:tc>
          <w:tcPr>
            <w:tcW w:w="1116" w:type="dxa"/>
            <w:shd w:val="clear" w:color="auto" w:fill="auto"/>
            <w:noWrap/>
            <w:hideMark/>
          </w:tcPr>
          <w:p w:rsidR="00504AEF" w:rsidRPr="0059119A" w:rsidRDefault="00504AEF" w:rsidP="00504AEF">
            <w:pPr>
              <w:spacing w:after="0" w:line="240" w:lineRule="auto"/>
            </w:pPr>
            <w:r w:rsidRPr="0059119A">
              <w:t>0.5</w:t>
            </w:r>
          </w:p>
        </w:tc>
        <w:tc>
          <w:tcPr>
            <w:tcW w:w="1116" w:type="dxa"/>
            <w:shd w:val="clear" w:color="auto" w:fill="auto"/>
            <w:noWrap/>
            <w:hideMark/>
          </w:tcPr>
          <w:p w:rsidR="00504AEF" w:rsidRPr="0059119A" w:rsidRDefault="00504AEF" w:rsidP="00504AEF">
            <w:pPr>
              <w:spacing w:after="0" w:line="240" w:lineRule="auto"/>
            </w:pPr>
            <w:r w:rsidRPr="0059119A">
              <w:t>0.6</w:t>
            </w:r>
          </w:p>
        </w:tc>
        <w:tc>
          <w:tcPr>
            <w:tcW w:w="1116" w:type="dxa"/>
            <w:shd w:val="clear" w:color="auto" w:fill="auto"/>
            <w:noWrap/>
            <w:hideMark/>
          </w:tcPr>
          <w:p w:rsidR="00504AEF" w:rsidRPr="0059119A" w:rsidRDefault="00504AEF" w:rsidP="00504AEF">
            <w:pPr>
              <w:spacing w:after="0" w:line="240" w:lineRule="auto"/>
            </w:pPr>
            <w:r w:rsidRPr="0059119A">
              <w:t>0.701</w:t>
            </w:r>
          </w:p>
        </w:tc>
        <w:tc>
          <w:tcPr>
            <w:tcW w:w="1116" w:type="dxa"/>
            <w:shd w:val="clear" w:color="auto" w:fill="auto"/>
            <w:noWrap/>
            <w:hideMark/>
          </w:tcPr>
          <w:p w:rsidR="00504AEF" w:rsidRPr="0059119A" w:rsidRDefault="00504AEF" w:rsidP="00504AEF">
            <w:pPr>
              <w:spacing w:after="0" w:line="240" w:lineRule="auto"/>
            </w:pPr>
            <w:r w:rsidRPr="0059119A">
              <w:t>0.801</w:t>
            </w:r>
          </w:p>
        </w:tc>
        <w:tc>
          <w:tcPr>
            <w:tcW w:w="1116" w:type="dxa"/>
            <w:shd w:val="clear" w:color="auto" w:fill="auto"/>
            <w:noWrap/>
            <w:hideMark/>
          </w:tcPr>
          <w:p w:rsidR="00504AEF" w:rsidRPr="0059119A" w:rsidRDefault="00504AEF" w:rsidP="00504AEF">
            <w:pPr>
              <w:spacing w:after="0" w:line="240" w:lineRule="auto"/>
            </w:pPr>
            <w:r w:rsidRPr="0059119A">
              <w:t>0.901</w:t>
            </w:r>
          </w:p>
        </w:tc>
      </w:tr>
      <w:tr w:rsidR="00504AEF" w:rsidRPr="0059119A" w:rsidTr="00504AEF">
        <w:trPr>
          <w:trHeight w:val="201"/>
        </w:trPr>
        <w:tc>
          <w:tcPr>
            <w:tcW w:w="870" w:type="dxa"/>
            <w:shd w:val="clear" w:color="auto" w:fill="auto"/>
            <w:noWrap/>
            <w:hideMark/>
          </w:tcPr>
          <w:p w:rsidR="00504AEF" w:rsidRPr="0059119A" w:rsidRDefault="00504AEF" w:rsidP="00504AEF">
            <w:pPr>
              <w:spacing w:after="0" w:line="240" w:lineRule="auto"/>
            </w:pPr>
            <w:r w:rsidRPr="0059119A">
              <w:t xml:space="preserve">Avg # Of Probes for 30 Runs </w:t>
            </w:r>
          </w:p>
        </w:tc>
        <w:tc>
          <w:tcPr>
            <w:tcW w:w="1116" w:type="dxa"/>
            <w:shd w:val="clear" w:color="auto" w:fill="auto"/>
            <w:noWrap/>
            <w:hideMark/>
          </w:tcPr>
          <w:p w:rsidR="00504AEF" w:rsidRPr="0059119A" w:rsidRDefault="00504AEF" w:rsidP="00504AEF">
            <w:pPr>
              <w:spacing w:after="0" w:line="240" w:lineRule="auto"/>
            </w:pPr>
            <w:r w:rsidRPr="0059119A">
              <w:t>1.071429</w:t>
            </w:r>
          </w:p>
        </w:tc>
        <w:tc>
          <w:tcPr>
            <w:tcW w:w="1116" w:type="dxa"/>
            <w:shd w:val="clear" w:color="auto" w:fill="auto"/>
            <w:noWrap/>
            <w:hideMark/>
          </w:tcPr>
          <w:p w:rsidR="00504AEF" w:rsidRPr="0059119A" w:rsidRDefault="00504AEF" w:rsidP="00504AEF">
            <w:pPr>
              <w:spacing w:after="0" w:line="240" w:lineRule="auto"/>
            </w:pPr>
            <w:r w:rsidRPr="0059119A">
              <w:t>1.214286</w:t>
            </w:r>
          </w:p>
        </w:tc>
        <w:tc>
          <w:tcPr>
            <w:tcW w:w="1116" w:type="dxa"/>
            <w:shd w:val="clear" w:color="auto" w:fill="auto"/>
            <w:noWrap/>
            <w:hideMark/>
          </w:tcPr>
          <w:p w:rsidR="00504AEF" w:rsidRPr="0059119A" w:rsidRDefault="00504AEF" w:rsidP="00504AEF">
            <w:pPr>
              <w:spacing w:after="0" w:line="240" w:lineRule="auto"/>
            </w:pPr>
            <w:r w:rsidRPr="0059119A">
              <w:t>1.292857</w:t>
            </w:r>
          </w:p>
        </w:tc>
        <w:tc>
          <w:tcPr>
            <w:tcW w:w="1116" w:type="dxa"/>
            <w:shd w:val="clear" w:color="auto" w:fill="auto"/>
            <w:noWrap/>
            <w:hideMark/>
          </w:tcPr>
          <w:p w:rsidR="00504AEF" w:rsidRPr="0059119A" w:rsidRDefault="00504AEF" w:rsidP="00504AEF">
            <w:pPr>
              <w:spacing w:after="0" w:line="240" w:lineRule="auto"/>
            </w:pPr>
            <w:r w:rsidRPr="0059119A">
              <w:t>1.464286</w:t>
            </w:r>
          </w:p>
        </w:tc>
        <w:tc>
          <w:tcPr>
            <w:tcW w:w="1116" w:type="dxa"/>
            <w:shd w:val="clear" w:color="auto" w:fill="auto"/>
            <w:noWrap/>
            <w:hideMark/>
          </w:tcPr>
          <w:p w:rsidR="00504AEF" w:rsidRPr="0059119A" w:rsidRDefault="00504AEF" w:rsidP="00504AEF">
            <w:pPr>
              <w:spacing w:after="0" w:line="240" w:lineRule="auto"/>
            </w:pPr>
            <w:r w:rsidRPr="0059119A">
              <w:t>1.678571</w:t>
            </w:r>
          </w:p>
        </w:tc>
        <w:tc>
          <w:tcPr>
            <w:tcW w:w="1116" w:type="dxa"/>
            <w:shd w:val="clear" w:color="auto" w:fill="auto"/>
            <w:noWrap/>
            <w:hideMark/>
          </w:tcPr>
          <w:p w:rsidR="00504AEF" w:rsidRPr="0059119A" w:rsidRDefault="00504AEF" w:rsidP="00504AEF">
            <w:pPr>
              <w:spacing w:after="0" w:line="240" w:lineRule="auto"/>
            </w:pPr>
            <w:r w:rsidRPr="0059119A">
              <w:t>2.642857</w:t>
            </w:r>
          </w:p>
        </w:tc>
        <w:tc>
          <w:tcPr>
            <w:tcW w:w="1116" w:type="dxa"/>
            <w:shd w:val="clear" w:color="auto" w:fill="auto"/>
            <w:noWrap/>
            <w:hideMark/>
          </w:tcPr>
          <w:p w:rsidR="00504AEF" w:rsidRPr="0059119A" w:rsidRDefault="00504AEF" w:rsidP="00504AEF">
            <w:pPr>
              <w:spacing w:after="0" w:line="240" w:lineRule="auto"/>
            </w:pPr>
            <w:r w:rsidRPr="0059119A">
              <w:t>2.642857</w:t>
            </w:r>
          </w:p>
        </w:tc>
        <w:tc>
          <w:tcPr>
            <w:tcW w:w="1116" w:type="dxa"/>
            <w:shd w:val="clear" w:color="auto" w:fill="auto"/>
            <w:noWrap/>
            <w:hideMark/>
          </w:tcPr>
          <w:p w:rsidR="00504AEF" w:rsidRPr="0059119A" w:rsidRDefault="00504AEF" w:rsidP="00504AEF">
            <w:pPr>
              <w:spacing w:after="0" w:line="240" w:lineRule="auto"/>
            </w:pPr>
            <w:r w:rsidRPr="0059119A">
              <w:t>6.571429</w:t>
            </w:r>
          </w:p>
        </w:tc>
        <w:tc>
          <w:tcPr>
            <w:tcW w:w="1116" w:type="dxa"/>
            <w:shd w:val="clear" w:color="auto" w:fill="auto"/>
            <w:noWrap/>
            <w:hideMark/>
          </w:tcPr>
          <w:p w:rsidR="00504AEF" w:rsidRPr="0059119A" w:rsidRDefault="00504AEF" w:rsidP="00504AEF">
            <w:pPr>
              <w:spacing w:after="0" w:line="240" w:lineRule="auto"/>
            </w:pPr>
            <w:r w:rsidRPr="0059119A">
              <w:t>8.607143</w:t>
            </w:r>
          </w:p>
        </w:tc>
      </w:tr>
    </w:tbl>
    <w:p w:rsidR="007E4ADF" w:rsidRDefault="0059119A">
      <w:r>
        <w:t>Average Number of Probes After 30 Runs for Insert</w:t>
      </w:r>
    </w:p>
    <w:p w:rsidR="0059119A" w:rsidRDefault="0059119A"/>
    <w:p w:rsidR="0059119A" w:rsidRDefault="00212E3A">
      <w:r w:rsidRPr="00E134C9">
        <w:rPr>
          <w:noProof/>
        </w:rPr>
        <w:drawing>
          <wp:inline distT="0" distB="0" distL="0" distR="0">
            <wp:extent cx="4568825" cy="2740025"/>
            <wp:effectExtent l="0" t="0" r="3175" b="317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9119A" w:rsidRDefault="0059119A"/>
    <w:p w:rsidR="0059119A" w:rsidRDefault="0059119A"/>
    <w:p w:rsidR="0059119A" w:rsidRDefault="0059119A">
      <w:r>
        <w:t>Using the chart and the numbers to draw a conclusion about Quadratic Probing, we can see that after 30 runs the numbers begin to normalize a bit, showing a steady increase in the amount of probes necessary after 0.1 (Which will always be 1 probe) onwards for each insert. However, this is not linear, but a very slow</w:t>
      </w:r>
      <w:r w:rsidR="006F41A9">
        <w:t xml:space="preserve"> increase, showing the effective of Quadratic Probing, particularly from 0.1 to 0.5, when rehashing isn’t necessary, which is when Quadratic Probing works best. Afterwards,, however, we see a much more rapid increase, more towards an exponential increase in the amount of probes necessary from 0.7 to 0.9. This is particularly because of the lack of rehashing in this particular Quadratic Probe, and emphasizes that Quadratic Probing works best when the load factor is less than 0.5. </w:t>
      </w:r>
    </w:p>
    <w:sectPr w:rsidR="00591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19A"/>
    <w:rsid w:val="00212E3A"/>
    <w:rsid w:val="00504AEF"/>
    <w:rsid w:val="0059119A"/>
    <w:rsid w:val="006F41A9"/>
    <w:rsid w:val="007E4ADF"/>
    <w:rsid w:val="0080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09170-F761-426F-9F11-AEAB7EC7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4D2"/>
    <w:pPr>
      <w:spacing w:after="160" w:line="259" w:lineRule="auto"/>
    </w:pPr>
    <w:rPr>
      <w:rFonts w:ascii="Times New Roman" w:hAnsi="Times New Roman"/>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1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801618">
      <w:bodyDiv w:val="1"/>
      <w:marLeft w:val="0"/>
      <w:marRight w:val="0"/>
      <w:marTop w:val="0"/>
      <w:marBottom w:val="0"/>
      <w:divBdr>
        <w:top w:val="none" w:sz="0" w:space="0" w:color="auto"/>
        <w:left w:val="none" w:sz="0" w:space="0" w:color="auto"/>
        <w:bottom w:val="none" w:sz="0" w:space="0" w:color="auto"/>
        <w:right w:val="none" w:sz="0" w:space="0" w:color="auto"/>
      </w:divBdr>
    </w:div>
    <w:div w:id="138949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Victor\Desktop\QuadraticProbe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7136482939632549E-2"/>
          <c:y val="0.18097222222222226"/>
          <c:w val="0.90286351706036749"/>
          <c:h val="0.72088764946048411"/>
        </c:manualLayout>
      </c:layout>
      <c:lineChart>
        <c:grouping val="standard"/>
        <c:varyColors val="0"/>
        <c:ser>
          <c:idx val="0"/>
          <c:order val="0"/>
          <c:tx>
            <c:v>Avg # of Probes After 30 Runs</c:v>
          </c:tx>
          <c:spPr>
            <a:ln w="28575" cap="rnd">
              <a:solidFill>
                <a:schemeClr val="accent1"/>
              </a:solidFill>
              <a:round/>
            </a:ln>
            <a:effectLst/>
          </c:spPr>
          <c:marker>
            <c:symbol val="none"/>
          </c:marker>
          <c:cat>
            <c:numRef>
              <c:f>Sheet1!$C$1:$K$1</c:f>
              <c:numCache>
                <c:formatCode>General</c:formatCode>
                <c:ptCount val="9"/>
                <c:pt idx="0">
                  <c:v>0.1</c:v>
                </c:pt>
                <c:pt idx="1">
                  <c:v>0.2</c:v>
                </c:pt>
                <c:pt idx="2">
                  <c:v>0.3</c:v>
                </c:pt>
                <c:pt idx="3">
                  <c:v>0.4</c:v>
                </c:pt>
                <c:pt idx="4">
                  <c:v>0.5</c:v>
                </c:pt>
                <c:pt idx="5">
                  <c:v>0.6</c:v>
                </c:pt>
                <c:pt idx="6">
                  <c:v>0.70099999999999996</c:v>
                </c:pt>
                <c:pt idx="7">
                  <c:v>0.80100000000000005</c:v>
                </c:pt>
                <c:pt idx="8">
                  <c:v>0.90100000000000002</c:v>
                </c:pt>
              </c:numCache>
            </c:numRef>
          </c:cat>
          <c:val>
            <c:numRef>
              <c:f>Sheet1!$C$2:$K$2</c:f>
              <c:numCache>
                <c:formatCode>General</c:formatCode>
                <c:ptCount val="9"/>
                <c:pt idx="0">
                  <c:v>1.0714285714285714</c:v>
                </c:pt>
                <c:pt idx="1">
                  <c:v>1.2142857142857142</c:v>
                </c:pt>
                <c:pt idx="2">
                  <c:v>1.2928571428571429</c:v>
                </c:pt>
                <c:pt idx="3">
                  <c:v>1.4642857142857142</c:v>
                </c:pt>
                <c:pt idx="4">
                  <c:v>1.6785714285714286</c:v>
                </c:pt>
                <c:pt idx="5">
                  <c:v>2.6428571428571428</c:v>
                </c:pt>
                <c:pt idx="6">
                  <c:v>2.6428571428571428</c:v>
                </c:pt>
                <c:pt idx="7">
                  <c:v>6.5714285714285712</c:v>
                </c:pt>
                <c:pt idx="8">
                  <c:v>8.6071428571428577</c:v>
                </c:pt>
              </c:numCache>
            </c:numRef>
          </c:val>
          <c:smooth val="0"/>
        </c:ser>
        <c:dLbls>
          <c:showLegendKey val="0"/>
          <c:showVal val="0"/>
          <c:showCatName val="0"/>
          <c:showSerName val="0"/>
          <c:showPercent val="0"/>
          <c:showBubbleSize val="0"/>
        </c:dLbls>
        <c:smooth val="0"/>
        <c:axId val="303607688"/>
        <c:axId val="303610432"/>
      </c:lineChart>
      <c:catAx>
        <c:axId val="303607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610432"/>
        <c:crosses val="autoZero"/>
        <c:auto val="1"/>
        <c:lblAlgn val="ctr"/>
        <c:lblOffset val="100"/>
        <c:noMultiLvlLbl val="0"/>
      </c:catAx>
      <c:valAx>
        <c:axId val="30361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607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Cabrera</dc:creator>
  <cp:keywords/>
  <dc:description/>
  <cp:lastModifiedBy>Victor Cabrera</cp:lastModifiedBy>
  <cp:revision>2</cp:revision>
  <dcterms:created xsi:type="dcterms:W3CDTF">2015-04-07T02:57:00Z</dcterms:created>
  <dcterms:modified xsi:type="dcterms:W3CDTF">2015-04-07T02:57:00Z</dcterms:modified>
</cp:coreProperties>
</file>