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02280"/>
            <wp:effectExtent l="0" t="0" r="0" b="0"/>
            <wp:docPr id="1" name="图片 1" descr="新UI解决方案工作流程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UI解决方案工作流程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23540"/>
            <wp:effectExtent l="0" t="0" r="0" b="0"/>
            <wp:docPr id="3" name="图片 3" descr="新UI解决方案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UI解决方案工作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白底模块为UI框架内部模块，内部模块间通信都以Signal进行通知。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UI框架外部需要执行内部方法，则使用Service接口。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UI框架内部Command和Model可以使用外部的方法与数据。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431D"/>
    <w:rsid w:val="553160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2016-04-11T05:42:53Z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