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D4AF37"/>
          <w:sz w:val="40"/>
        </w:rPr>
        <w:t>KEYSIGHT</w:t>
      </w:r>
    </w:p>
    <w:p>
      <w:pPr>
        <w:jc w:val="center"/>
      </w:pPr>
      <w:r>
        <w:rPr>
          <w:rFonts w:ascii="Calibri" w:hAnsi="Calibri"/>
          <w:b/>
          <w:color w:val="1B2A4A"/>
          <w:sz w:val="20"/>
        </w:rPr>
        <w:t>TECHNOLOGIES</w:t>
      </w:r>
    </w:p>
    <w:p/>
    <w:p/>
    <w:p/>
    <w:p/>
    <w:p>
      <w:pPr>
        <w:jc w:val="center"/>
      </w:pPr>
      <w:r>
        <w:rPr>
          <w:rFonts w:ascii="Calibri" w:hAnsi="Calibri"/>
          <w:b/>
          <w:color w:val="0078D4"/>
          <w:sz w:val="72"/>
        </w:rPr>
        <w:t>CloudLens Stack</w:t>
      </w:r>
    </w:p>
    <w:p>
      <w:pPr>
        <w:jc w:val="center"/>
      </w:pPr>
      <w:r>
        <w:rPr>
          <w:rFonts w:ascii="Calibri" w:hAnsi="Calibri"/>
          <w:color w:val="005A9E"/>
          <w:sz w:val="52"/>
        </w:rPr>
        <w:t>Deployment Runbook</w:t>
      </w:r>
    </w:p>
    <w:p/>
    <w:p/>
    <w:p>
      <w:pPr>
        <w:jc w:val="center"/>
      </w:pPr>
      <w:r>
        <w:rPr>
          <w:rFonts w:ascii="Calibri" w:hAnsi="Calibri"/>
          <w:i/>
          <w:color w:val="556575"/>
          <w:sz w:val="28"/>
        </w:rPr>
        <w:t>CLMS, vPB and sensors. End to end. One command.</w:t>
      </w:r>
    </w:p>
    <w:p/>
    <w:p/>
    <w:p/>
    <w:p/>
    <w:p/>
    <w:p/>
    <w:p/>
    <w:p/>
    <w:tbl>
      <w:tblPr>
        <w:tblW w:type="auto" w:w="0"/>
        <w:jc w:val="center"/>
        <w:tblLayout w:type="fixed"/>
        <w:tblLook w:firstColumn="1" w:firstRow="1" w:lastColumn="0" w:lastRow="0" w:noHBand="0" w:noVBand="1" w:val="04A0"/>
      </w:tblPr>
      <w:tblGrid>
        <w:gridCol w:w="4824"/>
        <w:gridCol w:w="4824"/>
      </w:tblGrid>
      <w:tr>
        <w:tc>
          <w:tcPr>
            <w:tcW w:type="dxa" w:w="2880"/>
            <w:shd w:val="clear" w:color="auto" w:fill="0078D4"/>
          </w:tcPr>
          <w:p>
            <w:pPr>
              <w:jc w:val="right"/>
            </w:pPr>
            <w:r>
              <w:rPr>
                <w:rFonts w:ascii="Calibri" w:hAnsi="Calibri"/>
                <w:b/>
                <w:color w:val="FFFFFF"/>
                <w:sz w:val="22"/>
              </w:rPr>
              <w:t>Version</w:t>
            </w:r>
          </w:p>
        </w:tc>
        <w:tc>
          <w:tcPr>
            <w:tcW w:type="dxa" w:w="2880"/>
            <w:shd w:val="clear" w:color="auto" w:fill="F4F8FB"/>
          </w:tcPr>
          <w:p>
            <w:pPr>
              <w:jc w:val="left"/>
            </w:pPr>
            <w:r>
              <w:rPr>
                <w:rFonts w:ascii="Calibri" w:hAnsi="Calibri"/>
                <w:b/>
                <w:color w:val="1B2A4A"/>
                <w:sz w:val="22"/>
              </w:rPr>
              <w:t>v1.0</w:t>
            </w:r>
          </w:p>
        </w:tc>
      </w:tr>
      <w:tr>
        <w:tc>
          <w:tcPr>
            <w:tcW w:type="dxa" w:w="2880"/>
            <w:shd w:val="clear" w:color="auto" w:fill="0078D4"/>
          </w:tcPr>
          <w:p>
            <w:pPr>
              <w:jc w:val="right"/>
            </w:pPr>
            <w:r>
              <w:rPr>
                <w:rFonts w:ascii="Calibri" w:hAnsi="Calibri"/>
                <w:b/>
                <w:color w:val="FFFFFF"/>
                <w:sz w:val="22"/>
              </w:rPr>
              <w:t>Date</w:t>
            </w:r>
          </w:p>
        </w:tc>
        <w:tc>
          <w:tcPr>
            <w:tcW w:type="dxa" w:w="2880"/>
            <w:shd w:val="clear" w:color="auto" w:fill="F4F8FB"/>
          </w:tcPr>
          <w:p>
            <w:pPr>
              <w:jc w:val="left"/>
            </w:pPr>
            <w:r>
              <w:rPr>
                <w:rFonts w:ascii="Calibri" w:hAnsi="Calibri"/>
                <w:b/>
                <w:color w:val="1B2A4A"/>
                <w:sz w:val="22"/>
              </w:rPr>
              <w:t>June 2026</w:t>
            </w:r>
          </w:p>
        </w:tc>
      </w:tr>
    </w:tbl>
    <w:p/>
    <w:p/>
    <w:p>
      <w:pPr>
        <w:jc w:val="center"/>
      </w:pPr>
      <w:r>
        <w:rPr>
          <w:rFonts w:ascii="Calibri" w:hAnsi="Calibri"/>
          <w:i/>
          <w:color w:val="556575"/>
          <w:sz w:val="20"/>
        </w:rPr>
        <w:t>Keysight Technologies   |   Network Visibility Solutions</w:t>
      </w:r>
    </w:p>
    <w:p>
      <w:r>
        <w:br w:type="page"/>
      </w:r>
    </w:p>
    <w:p>
      <w:pPr>
        <w:pStyle w:val="Heading1"/>
      </w:pPr>
      <w:r>
        <w:t>Table of Contents</w:t>
      </w:r>
    </w:p>
    <w:p>
      <w:pPr>
        <w:spacing w:after="120"/>
      </w:pPr>
    </w:p>
    <w:p>
      <w:pPr>
        <w:tabs>
          <w:tab w:pos="9072" w:val="right" w:leader="dot"/>
        </w:tabs>
        <w:spacing w:after="40" w:before="0"/>
      </w:pPr>
      <w:r>
        <w:rPr>
          <w:rFonts w:ascii="Calibri" w:hAnsi="Calibri"/>
          <w:b/>
          <w:color w:val="005A9E"/>
          <w:sz w:val="24"/>
        </w:rPr>
        <w:t>1. Executive Summary</w:t>
      </w:r>
      <w:r>
        <w:tab/>
      </w:r>
    </w:p>
    <w:p>
      <w:pPr>
        <w:tabs>
          <w:tab w:pos="9072" w:val="right" w:leader="dot"/>
        </w:tabs>
        <w:spacing w:after="40" w:before="0"/>
      </w:pPr>
      <w:r>
        <w:rPr>
          <w:rFonts w:ascii="Calibri" w:hAnsi="Calibri"/>
          <w:b/>
          <w:color w:val="005A9E"/>
          <w:sz w:val="24"/>
        </w:rPr>
        <w:t>2. The Three Deployment Paths</w:t>
      </w:r>
      <w:r>
        <w:tab/>
      </w:r>
    </w:p>
    <w:p>
      <w:pPr>
        <w:tabs>
          <w:tab w:pos="9072" w:val="right" w:leader="dot"/>
        </w:tabs>
        <w:spacing w:after="40" w:before="0"/>
      </w:pPr>
      <w:r>
        <w:rPr>
          <w:rFonts w:ascii="Calibri" w:hAnsi="Calibri"/>
          <w:b/>
          <w:color w:val="005A9E"/>
          <w:sz w:val="24"/>
        </w:rPr>
        <w:t>3. Prerequisites</w:t>
      </w:r>
      <w:r>
        <w:tab/>
      </w:r>
    </w:p>
    <w:p>
      <w:pPr>
        <w:tabs>
          <w:tab w:pos="9072" w:val="right" w:leader="dot"/>
        </w:tabs>
        <w:spacing w:after="40" w:before="0"/>
      </w:pPr>
      <w:r>
        <w:rPr>
          <w:rFonts w:ascii="Calibri" w:hAnsi="Calibri"/>
          <w:b/>
          <w:color w:val="005A9E"/>
          <w:sz w:val="24"/>
        </w:rPr>
        <w:t>4. Path A: Bash One-Liner</w:t>
      </w:r>
      <w:r>
        <w:tab/>
      </w:r>
    </w:p>
    <w:p>
      <w:pPr>
        <w:tabs>
          <w:tab w:pos="9072" w:val="right" w:leader="dot"/>
        </w:tabs>
        <w:spacing w:after="40" w:before="0"/>
        <w:ind w:left="504"/>
      </w:pPr>
      <w:r>
        <w:rPr>
          <w:rFonts w:ascii="Calibri" w:hAnsi="Calibri"/>
          <w:b w:val="0"/>
          <w:color w:val="1B2A4A"/>
          <w:sz w:val="21"/>
        </w:rPr>
        <w:t>4.1  What the script does (phase by phase)</w:t>
      </w:r>
      <w:r>
        <w:tab/>
      </w:r>
    </w:p>
    <w:p>
      <w:pPr>
        <w:tabs>
          <w:tab w:pos="9072" w:val="right" w:leader="dot"/>
        </w:tabs>
        <w:spacing w:after="40" w:before="0"/>
        <w:ind w:left="504"/>
      </w:pPr>
      <w:r>
        <w:rPr>
          <w:rFonts w:ascii="Calibri" w:hAnsi="Calibri"/>
          <w:b w:val="0"/>
          <w:color w:val="1B2A4A"/>
          <w:sz w:val="21"/>
        </w:rPr>
        <w:t>4.2  Flags and overrides</w:t>
      </w:r>
      <w:r>
        <w:tab/>
      </w:r>
    </w:p>
    <w:p>
      <w:pPr>
        <w:tabs>
          <w:tab w:pos="9072" w:val="right" w:leader="dot"/>
        </w:tabs>
        <w:spacing w:after="40" w:before="0"/>
      </w:pPr>
      <w:r>
        <w:rPr>
          <w:rFonts w:ascii="Calibri" w:hAnsi="Calibri"/>
          <w:b/>
          <w:color w:val="005A9E"/>
          <w:sz w:val="24"/>
        </w:rPr>
        <w:t>5. Path B: Terraform Stack Module</w:t>
      </w:r>
      <w:r>
        <w:tab/>
      </w:r>
    </w:p>
    <w:p>
      <w:pPr>
        <w:tabs>
          <w:tab w:pos="9072" w:val="right" w:leader="dot"/>
        </w:tabs>
        <w:spacing w:after="40" w:before="0"/>
        <w:ind w:left="504"/>
      </w:pPr>
      <w:r>
        <w:rPr>
          <w:rFonts w:ascii="Calibri" w:hAnsi="Calibri"/>
          <w:b w:val="0"/>
          <w:color w:val="1B2A4A"/>
          <w:sz w:val="21"/>
        </w:rPr>
        <w:t>5.1  Workflow</w:t>
      </w:r>
      <w:r>
        <w:tab/>
      </w:r>
    </w:p>
    <w:p>
      <w:pPr>
        <w:tabs>
          <w:tab w:pos="9072" w:val="right" w:leader="dot"/>
        </w:tabs>
        <w:spacing w:after="40" w:before="0"/>
        <w:ind w:left="504"/>
      </w:pPr>
      <w:r>
        <w:rPr>
          <w:rFonts w:ascii="Calibri" w:hAnsi="Calibri"/>
          <w:b w:val="0"/>
          <w:color w:val="1B2A4A"/>
          <w:sz w:val="21"/>
        </w:rPr>
        <w:t>5.2  What gets created</w:t>
      </w:r>
      <w:r>
        <w:tab/>
      </w:r>
    </w:p>
    <w:p>
      <w:pPr>
        <w:tabs>
          <w:tab w:pos="9072" w:val="right" w:leader="dot"/>
        </w:tabs>
        <w:spacing w:after="40" w:before="0"/>
      </w:pPr>
      <w:r>
        <w:rPr>
          <w:rFonts w:ascii="Calibri" w:hAnsi="Calibri"/>
          <w:b/>
          <w:color w:val="005A9E"/>
          <w:sz w:val="24"/>
        </w:rPr>
        <w:t>6. Path C: Azure Portal</w:t>
      </w:r>
      <w:r>
        <w:tab/>
      </w:r>
    </w:p>
    <w:p>
      <w:pPr>
        <w:tabs>
          <w:tab w:pos="9072" w:val="right" w:leader="dot"/>
        </w:tabs>
        <w:spacing w:after="40" w:before="0"/>
      </w:pPr>
      <w:r>
        <w:rPr>
          <w:rFonts w:ascii="Calibri" w:hAnsi="Calibri"/>
          <w:b/>
          <w:color w:val="005A9E"/>
          <w:sz w:val="24"/>
        </w:rPr>
        <w:t>7. Verification Checklist</w:t>
      </w:r>
      <w:r>
        <w:tab/>
      </w:r>
    </w:p>
    <w:p>
      <w:pPr>
        <w:tabs>
          <w:tab w:pos="9072" w:val="right" w:leader="dot"/>
        </w:tabs>
        <w:spacing w:after="40" w:before="0"/>
      </w:pPr>
      <w:r>
        <w:rPr>
          <w:rFonts w:ascii="Calibri" w:hAnsi="Calibri"/>
          <w:b/>
          <w:color w:val="005A9E"/>
          <w:sz w:val="24"/>
        </w:rPr>
        <w:t>8. Troubleshooting Reference</w:t>
      </w:r>
      <w:r>
        <w:tab/>
      </w:r>
    </w:p>
    <w:p>
      <w:pPr>
        <w:tabs>
          <w:tab w:pos="9072" w:val="right" w:leader="dot"/>
        </w:tabs>
        <w:spacing w:after="40" w:before="0"/>
      </w:pPr>
      <w:r>
        <w:rPr>
          <w:rFonts w:ascii="Calibri" w:hAnsi="Calibri"/>
          <w:b/>
          <w:color w:val="005A9E"/>
          <w:sz w:val="24"/>
        </w:rPr>
        <w:t>9. Cleanup / Decommission</w:t>
      </w:r>
      <w:r>
        <w:tab/>
      </w:r>
    </w:p>
    <w:p>
      <w:pPr>
        <w:tabs>
          <w:tab w:pos="9072" w:val="right" w:leader="dot"/>
        </w:tabs>
        <w:spacing w:after="40" w:before="0"/>
      </w:pPr>
      <w:r>
        <w:rPr>
          <w:rFonts w:ascii="Calibri" w:hAnsi="Calibri"/>
          <w:b/>
          <w:color w:val="005A9E"/>
          <w:sz w:val="24"/>
        </w:rPr>
        <w:t>10. Appendix: File Paths and Quick Links</w:t>
      </w:r>
      <w:r>
        <w:tab/>
      </w:r>
    </w:p>
    <w:p>
      <w:r>
        <w:br w:type="page"/>
      </w:r>
    </w:p>
    <w:p>
      <w:pPr>
        <w:pStyle w:val="Heading1"/>
      </w:pPr>
      <w:r>
        <w:t>1. Executive Summary</w:t>
      </w:r>
    </w:p>
    <w:p>
      <w:r>
        <w:rPr>
          <w:rFonts w:ascii="Calibri" w:hAnsi="Calibri"/>
          <w:b w:val="0"/>
          <w:i w:val="0"/>
          <w:sz w:val="22"/>
        </w:rPr>
        <w:t>This runbook shows how to deploy the full CloudLens stack on Azure in one shot: CloudLens Manager (CLMS), optional Virtual Packet Broker (vPB), and the OS sensors that connect tagged VMs back to CLMS. Three paths are documented; pick the one that matches how your team works. All three produce the same Azure resources.</w:t>
      </w:r>
    </w:p>
    <w:p>
      <w:pPr>
        <w:pStyle w:val="Heading2"/>
      </w:pPr>
      <w:r>
        <w:t>Audience</w:t>
      </w:r>
    </w:p>
    <w:p>
      <w:pPr>
        <w:pStyle w:val="ListBullet"/>
      </w:pPr>
      <w:r>
        <w:rPr>
          <w:rFonts w:ascii="Calibri" w:hAnsi="Calibri"/>
          <w:color w:val="1B2A4A"/>
          <w:sz w:val="22"/>
        </w:rPr>
        <w:t>Customer DevOps and platform engineers who own the Azure subscription.</w:t>
      </w:r>
    </w:p>
    <w:p>
      <w:pPr>
        <w:pStyle w:val="ListBullet"/>
      </w:pPr>
      <w:r>
        <w:rPr>
          <w:rFonts w:ascii="Calibri" w:hAnsi="Calibri"/>
          <w:color w:val="1B2A4A"/>
          <w:sz w:val="22"/>
        </w:rPr>
        <w:t>Keysight Sales Engineers running customer POCs or demos.</w:t>
      </w:r>
    </w:p>
    <w:p>
      <w:pPr>
        <w:pStyle w:val="ListBullet"/>
      </w:pPr>
      <w:r>
        <w:rPr>
          <w:rFonts w:ascii="Calibri" w:hAnsi="Calibri"/>
          <w:color w:val="1B2A4A"/>
          <w:sz w:val="22"/>
        </w:rPr>
        <w:t>Customer CTO / procurement / training teams who need a printable reference.</w:t>
      </w:r>
    </w:p>
    <w:p>
      <w:pPr>
        <w:pStyle w:val="Heading2"/>
      </w:pPr>
      <w:r>
        <w:t>What gets deployed</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0078D4"/>
            <w:vAlign w:val="center"/>
          </w:tcPr>
          <w:p>
            <w:pPr>
              <w:spacing w:after="40"/>
              <w:jc w:val="left"/>
            </w:pPr>
            <w:r>
              <w:rPr>
                <w:rFonts w:ascii="Calibri" w:hAnsi="Calibri"/>
                <w:b/>
                <w:color w:val="FFFFFF"/>
                <w:sz w:val="21"/>
              </w:rPr>
              <w:t>Component</w:t>
            </w:r>
          </w:p>
        </w:tc>
        <w:tc>
          <w:tcPr>
            <w:tcW w:type="dxa" w:w="4896"/>
            <w:shd w:val="clear" w:color="auto" w:fill="0078D4"/>
            <w:vAlign w:val="center"/>
          </w:tcPr>
          <w:p>
            <w:pPr>
              <w:spacing w:after="40"/>
              <w:jc w:val="left"/>
            </w:pPr>
            <w:r>
              <w:rPr>
                <w:rFonts w:ascii="Calibri" w:hAnsi="Calibri"/>
                <w:b/>
                <w:color w:val="FFFFFF"/>
                <w:sz w:val="21"/>
              </w:rPr>
              <w:t>Azure resources</w:t>
            </w:r>
          </w:p>
        </w:tc>
        <w:tc>
          <w:tcPr>
            <w:tcW w:type="dxa" w:w="1728"/>
            <w:shd w:val="clear" w:color="auto" w:fill="0078D4"/>
            <w:vAlign w:val="center"/>
          </w:tcPr>
          <w:p>
            <w:pPr>
              <w:spacing w:after="40"/>
              <w:jc w:val="left"/>
            </w:pPr>
            <w:r>
              <w:rPr>
                <w:rFonts w:ascii="Calibri" w:hAnsi="Calibri"/>
                <w:b/>
                <w:color w:val="FFFFFF"/>
                <w:sz w:val="21"/>
              </w:rPr>
              <w:t>Required</w:t>
            </w:r>
          </w:p>
        </w:tc>
      </w:tr>
      <w:tr>
        <w:tc>
          <w:tcPr>
            <w:tcW w:type="dxa" w:w="2880"/>
            <w:vAlign w:val="center"/>
            <w:shd w:val="clear" w:color="auto" w:fill="F4F8FB"/>
          </w:tcPr>
          <w:p>
            <w:pPr>
              <w:spacing w:after="40"/>
            </w:pPr>
            <w:r>
              <w:rPr>
                <w:rFonts w:ascii="Calibri" w:hAnsi="Calibri"/>
                <w:color w:val="1B2A4A"/>
                <w:sz w:val="20"/>
              </w:rPr>
              <w:t>CloudLens Manager (CLMS)</w:t>
            </w:r>
          </w:p>
        </w:tc>
        <w:tc>
          <w:tcPr>
            <w:tcW w:type="dxa" w:w="4896"/>
            <w:vAlign w:val="center"/>
            <w:shd w:val="clear" w:color="auto" w:fill="F4F8FB"/>
          </w:tcPr>
          <w:p>
            <w:pPr>
              <w:spacing w:after="40"/>
            </w:pPr>
            <w:r>
              <w:rPr>
                <w:rFonts w:ascii="Calibri" w:hAnsi="Calibri"/>
                <w:color w:val="1B2A4A"/>
                <w:sz w:val="20"/>
              </w:rPr>
              <w:t>1 VM (D4s_v5), 1 public IP, NSG, NIC</w:t>
            </w:r>
          </w:p>
        </w:tc>
        <w:tc>
          <w:tcPr>
            <w:tcW w:type="dxa" w:w="1728"/>
            <w:vAlign w:val="center"/>
            <w:shd w:val="clear" w:color="auto" w:fill="F4F8FB"/>
          </w:tcPr>
          <w:p>
            <w:pPr>
              <w:spacing w:after="40"/>
            </w:pPr>
            <w:r>
              <w:rPr>
                <w:rFonts w:ascii="Calibri" w:hAnsi="Calibri"/>
                <w:color w:val="1B2A4A"/>
                <w:sz w:val="20"/>
              </w:rPr>
              <w:t>Yes</w:t>
            </w:r>
          </w:p>
        </w:tc>
      </w:tr>
      <w:tr>
        <w:tc>
          <w:tcPr>
            <w:tcW w:type="dxa" w:w="2880"/>
            <w:vAlign w:val="center"/>
          </w:tcPr>
          <w:p>
            <w:pPr>
              <w:spacing w:after="40"/>
            </w:pPr>
            <w:r>
              <w:rPr>
                <w:rFonts w:ascii="Calibri" w:hAnsi="Calibri"/>
                <w:color w:val="1B2A4A"/>
                <w:sz w:val="20"/>
              </w:rPr>
              <w:t>Virtual Packet Broker (vPB)</w:t>
            </w:r>
          </w:p>
        </w:tc>
        <w:tc>
          <w:tcPr>
            <w:tcW w:type="dxa" w:w="4896"/>
            <w:vAlign w:val="center"/>
          </w:tcPr>
          <w:p>
            <w:pPr>
              <w:spacing w:after="40"/>
            </w:pPr>
            <w:r>
              <w:rPr>
                <w:rFonts w:ascii="Calibri" w:hAnsi="Calibri"/>
                <w:color w:val="1B2A4A"/>
                <w:sz w:val="20"/>
              </w:rPr>
              <w:t>1 VM (D8s_v3), 1 public IP for mgmt, NSG, 3 NICs</w:t>
            </w:r>
          </w:p>
        </w:tc>
        <w:tc>
          <w:tcPr>
            <w:tcW w:type="dxa" w:w="1728"/>
            <w:vAlign w:val="center"/>
          </w:tcPr>
          <w:p>
            <w:pPr>
              <w:spacing w:after="40"/>
            </w:pPr>
            <w:r>
              <w:rPr>
                <w:rFonts w:ascii="Calibri" w:hAnsi="Calibri"/>
                <w:color w:val="1B2A4A"/>
                <w:sz w:val="20"/>
              </w:rPr>
              <w:t>Optional</w:t>
            </w:r>
          </w:p>
        </w:tc>
      </w:tr>
      <w:tr>
        <w:tc>
          <w:tcPr>
            <w:tcW w:type="dxa" w:w="2880"/>
            <w:vAlign w:val="center"/>
            <w:shd w:val="clear" w:color="auto" w:fill="F4F8FB"/>
          </w:tcPr>
          <w:p>
            <w:pPr>
              <w:spacing w:after="40"/>
            </w:pPr>
            <w:r>
              <w:rPr>
                <w:rFonts w:ascii="Calibri" w:hAnsi="Calibri"/>
                <w:color w:val="1B2A4A"/>
                <w:sz w:val="20"/>
              </w:rPr>
              <w:t>Sensors</w:t>
            </w:r>
          </w:p>
        </w:tc>
        <w:tc>
          <w:tcPr>
            <w:tcW w:type="dxa" w:w="4896"/>
            <w:vAlign w:val="center"/>
            <w:shd w:val="clear" w:color="auto" w:fill="F4F8FB"/>
          </w:tcPr>
          <w:p>
            <w:pPr>
              <w:spacing w:after="40"/>
            </w:pPr>
            <w:r>
              <w:rPr>
                <w:rFonts w:ascii="Calibri" w:hAnsi="Calibri"/>
                <w:color w:val="1B2A4A"/>
                <w:sz w:val="20"/>
              </w:rPr>
              <w:t>Agent containers (Linux) and native service (Windows) on tagged VMs</w:t>
            </w:r>
          </w:p>
        </w:tc>
        <w:tc>
          <w:tcPr>
            <w:tcW w:type="dxa" w:w="1728"/>
            <w:vAlign w:val="center"/>
            <w:shd w:val="clear" w:color="auto" w:fill="F4F8FB"/>
          </w:tcPr>
          <w:p>
            <w:pPr>
              <w:spacing w:after="40"/>
            </w:pPr>
            <w:r>
              <w:rPr>
                <w:rFonts w:ascii="Calibri" w:hAnsi="Calibri"/>
                <w:color w:val="1B2A4A"/>
                <w:sz w:val="20"/>
              </w:rPr>
              <w:t>Optional</w:t>
            </w:r>
          </w:p>
        </w:tc>
      </w:tr>
      <w:tr>
        <w:tc>
          <w:tcPr>
            <w:tcW w:type="dxa" w:w="2880"/>
            <w:vAlign w:val="center"/>
          </w:tcPr>
          <w:p>
            <w:pPr>
              <w:spacing w:after="40"/>
            </w:pPr>
            <w:r>
              <w:rPr>
                <w:rFonts w:ascii="Calibri" w:hAnsi="Calibri"/>
                <w:color w:val="1B2A4A"/>
                <w:sz w:val="20"/>
              </w:rPr>
              <w:t>Shared networking</w:t>
            </w:r>
          </w:p>
        </w:tc>
        <w:tc>
          <w:tcPr>
            <w:tcW w:type="dxa" w:w="4896"/>
            <w:vAlign w:val="center"/>
          </w:tcPr>
          <w:p>
            <w:pPr>
              <w:spacing w:after="40"/>
            </w:pPr>
            <w:r>
              <w:rPr>
                <w:rFonts w:ascii="Calibri" w:hAnsi="Calibri"/>
                <w:color w:val="1B2A4A"/>
                <w:sz w:val="20"/>
              </w:rPr>
              <w:t>VNet 10.50.0.0/16, 1-4 subnets depending on options</w:t>
            </w:r>
          </w:p>
        </w:tc>
        <w:tc>
          <w:tcPr>
            <w:tcW w:type="dxa" w:w="1728"/>
            <w:vAlign w:val="center"/>
          </w:tcPr>
          <w:p>
            <w:pPr>
              <w:spacing w:after="40"/>
            </w:pPr>
            <w:r>
              <w:rPr>
                <w:rFonts w:ascii="Calibri" w:hAnsi="Calibri"/>
                <w:color w:val="1B2A4A"/>
                <w:sz w:val="20"/>
              </w:rPr>
              <w:t>Yes</w:t>
            </w:r>
          </w:p>
        </w:tc>
      </w:tr>
    </w:tbl>
    <w:p/>
    <w:p>
      <w:pPr>
        <w:pStyle w:val="Heading2"/>
      </w:pPr>
      <w:r>
        <w:t>Time and cost</w:t>
      </w:r>
    </w:p>
    <w:tbl>
      <w:tblPr>
        <w:tblStyle w:val="TableGrid"/>
        <w:tblW w:type="auto" w:w="0"/>
        <w:jc w:val="center"/>
        <w:tblLook w:firstColumn="1" w:firstRow="1" w:lastColumn="0" w:lastRow="0" w:noHBand="0" w:noVBand="1" w:val="04A0"/>
      </w:tblPr>
      <w:tblGrid>
        <w:gridCol w:w="4824"/>
        <w:gridCol w:w="4824"/>
      </w:tblGrid>
      <w:tr>
        <w:tc>
          <w:tcPr>
            <w:tcW w:type="dxa" w:w="5184"/>
            <w:shd w:val="clear" w:color="auto" w:fill="0078D4"/>
            <w:vAlign w:val="center"/>
          </w:tcPr>
          <w:p>
            <w:pPr>
              <w:spacing w:after="40"/>
              <w:jc w:val="left"/>
            </w:pPr>
            <w:r>
              <w:rPr>
                <w:rFonts w:ascii="Calibri" w:hAnsi="Calibri"/>
                <w:b/>
                <w:color w:val="FFFFFF"/>
                <w:sz w:val="21"/>
              </w:rPr>
              <w:t>Phase</w:t>
            </w:r>
          </w:p>
        </w:tc>
        <w:tc>
          <w:tcPr>
            <w:tcW w:type="dxa" w:w="3456"/>
            <w:shd w:val="clear" w:color="auto" w:fill="0078D4"/>
            <w:vAlign w:val="center"/>
          </w:tcPr>
          <w:p>
            <w:pPr>
              <w:spacing w:after="40"/>
              <w:jc w:val="left"/>
            </w:pPr>
            <w:r>
              <w:rPr>
                <w:rFonts w:ascii="Calibri" w:hAnsi="Calibri"/>
                <w:b/>
                <w:color w:val="FFFFFF"/>
                <w:sz w:val="21"/>
              </w:rPr>
              <w:t>Wall-clock time</w:t>
            </w:r>
          </w:p>
        </w:tc>
      </w:tr>
      <w:tr>
        <w:tc>
          <w:tcPr>
            <w:tcW w:type="dxa" w:w="5184"/>
            <w:vAlign w:val="center"/>
            <w:shd w:val="clear" w:color="auto" w:fill="F4F8FB"/>
          </w:tcPr>
          <w:p>
            <w:pPr>
              <w:spacing w:after="40"/>
            </w:pPr>
            <w:r>
              <w:rPr>
                <w:rFonts w:ascii="Calibri" w:hAnsi="Calibri"/>
                <w:color w:val="1B2A4A"/>
                <w:sz w:val="20"/>
              </w:rPr>
              <w:t>CLMS VM provisioned and initialised</w:t>
            </w:r>
          </w:p>
        </w:tc>
        <w:tc>
          <w:tcPr>
            <w:tcW w:type="dxa" w:w="3456"/>
            <w:vAlign w:val="center"/>
            <w:shd w:val="clear" w:color="auto" w:fill="F4F8FB"/>
          </w:tcPr>
          <w:p>
            <w:pPr>
              <w:spacing w:after="40"/>
            </w:pPr>
            <w:r>
              <w:rPr>
                <w:rFonts w:ascii="Calibri" w:hAnsi="Calibri"/>
                <w:color w:val="1B2A4A"/>
                <w:sz w:val="20"/>
              </w:rPr>
              <w:t>15 to 20 min</w:t>
            </w:r>
          </w:p>
        </w:tc>
      </w:tr>
      <w:tr>
        <w:tc>
          <w:tcPr>
            <w:tcW w:type="dxa" w:w="5184"/>
            <w:vAlign w:val="center"/>
          </w:tcPr>
          <w:p>
            <w:pPr>
              <w:spacing w:after="40"/>
            </w:pPr>
            <w:r>
              <w:rPr>
                <w:rFonts w:ascii="Calibri" w:hAnsi="Calibri"/>
                <w:color w:val="1B2A4A"/>
                <w:sz w:val="20"/>
              </w:rPr>
              <w:t>vPB VM provisioned (optional)</w:t>
            </w:r>
          </w:p>
        </w:tc>
        <w:tc>
          <w:tcPr>
            <w:tcW w:type="dxa" w:w="3456"/>
            <w:vAlign w:val="center"/>
          </w:tcPr>
          <w:p>
            <w:pPr>
              <w:spacing w:after="40"/>
            </w:pPr>
            <w:r>
              <w:rPr>
                <w:rFonts w:ascii="Calibri" w:hAnsi="Calibri"/>
                <w:color w:val="1B2A4A"/>
                <w:sz w:val="20"/>
              </w:rPr>
              <w:t>5 to 10 min</w:t>
            </w:r>
          </w:p>
        </w:tc>
      </w:tr>
      <w:tr>
        <w:tc>
          <w:tcPr>
            <w:tcW w:type="dxa" w:w="5184"/>
            <w:vAlign w:val="center"/>
            <w:shd w:val="clear" w:color="auto" w:fill="F4F8FB"/>
          </w:tcPr>
          <w:p>
            <w:pPr>
              <w:spacing w:after="40"/>
            </w:pPr>
            <w:r>
              <w:rPr>
                <w:rFonts w:ascii="Calibri" w:hAnsi="Calibri"/>
                <w:color w:val="1B2A4A"/>
                <w:sz w:val="20"/>
              </w:rPr>
              <w:t>Sensors deployed on first 10 VMs (optional)</w:t>
            </w:r>
          </w:p>
        </w:tc>
        <w:tc>
          <w:tcPr>
            <w:tcW w:type="dxa" w:w="3456"/>
            <w:vAlign w:val="center"/>
            <w:shd w:val="clear" w:color="auto" w:fill="F4F8FB"/>
          </w:tcPr>
          <w:p>
            <w:pPr>
              <w:spacing w:after="40"/>
            </w:pPr>
            <w:r>
              <w:rPr>
                <w:rFonts w:ascii="Calibri" w:hAnsi="Calibri"/>
                <w:color w:val="1B2A4A"/>
                <w:sz w:val="20"/>
              </w:rPr>
              <w:t>5 to 8 min</w:t>
            </w:r>
          </w:p>
        </w:tc>
      </w:tr>
      <w:tr>
        <w:tc>
          <w:tcPr>
            <w:tcW w:type="dxa" w:w="5184"/>
            <w:vAlign w:val="center"/>
          </w:tcPr>
          <w:p>
            <w:pPr>
              <w:spacing w:after="40"/>
            </w:pPr>
            <w:r>
              <w:rPr>
                <w:rFonts w:ascii="Calibri" w:hAnsi="Calibri"/>
                <w:color w:val="1B2A4A"/>
                <w:sz w:val="20"/>
              </w:rPr>
              <w:t>Total typical (CLMS + vPB + sensors)</w:t>
            </w:r>
          </w:p>
        </w:tc>
        <w:tc>
          <w:tcPr>
            <w:tcW w:type="dxa" w:w="3456"/>
            <w:vAlign w:val="center"/>
          </w:tcPr>
          <w:p>
            <w:pPr>
              <w:spacing w:after="40"/>
            </w:pPr>
            <w:r>
              <w:rPr>
                <w:rFonts w:ascii="Calibri" w:hAnsi="Calibri"/>
                <w:color w:val="1B2A4A"/>
                <w:sz w:val="20"/>
              </w:rPr>
              <w:t>30 to 40 min</w:t>
            </w:r>
          </w:p>
        </w:tc>
      </w:tr>
    </w:tbl>
    <w:p/>
    <w:p>
      <w:r>
        <w:rPr>
          <w:rFonts w:ascii="Calibri" w:hAnsi="Calibri"/>
          <w:b w:val="0"/>
          <w:i/>
          <w:color w:val="556575"/>
          <w:sz w:val="20"/>
        </w:rPr>
        <w:t>Indicative Azure cost (East US 2, June 2026 list prices): CLMS D4s_v5 about USD 140/month, vPB D8s_v3 about USD 280/month, plus small storage and public-IP fees. Stopping the VMs deallocates compute charges. Marketplace software fees are billed separately by Keysight.</w:t>
      </w:r>
    </w:p>
    <w:p>
      <w:r>
        <w:br w:type="page"/>
      </w:r>
    </w:p>
    <w:p>
      <w:pPr>
        <w:pStyle w:val="Heading1"/>
      </w:pPr>
      <w:r>
        <w:t>2. The Three Deployment Paths</w:t>
      </w:r>
    </w:p>
    <w:p>
      <w:r>
        <w:rPr>
          <w:rFonts w:ascii="Calibri" w:hAnsi="Calibri"/>
          <w:b w:val="0"/>
          <w:i w:val="0"/>
          <w:sz w:val="22"/>
        </w:rPr>
        <w:t>All three paths accept Azure Marketplace terms automatically, deploy the same VMs, and chain CLMS first, then vPB. Pick the one that matches your operating model. You can switch between them later without losing state, because each path produces standard Azure resources in a resource group.</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color="auto" w:fill="0078D4"/>
            <w:vAlign w:val="center"/>
          </w:tcPr>
          <w:p>
            <w:pPr>
              <w:spacing w:after="40"/>
              <w:jc w:val="left"/>
            </w:pPr>
            <w:r>
              <w:rPr>
                <w:rFonts w:ascii="Calibri" w:hAnsi="Calibri"/>
                <w:b/>
                <w:color w:val="FFFFFF"/>
                <w:sz w:val="21"/>
              </w:rPr>
              <w:t>Path</w:t>
            </w:r>
          </w:p>
        </w:tc>
        <w:tc>
          <w:tcPr>
            <w:tcW w:type="dxa" w:w="3744"/>
            <w:shd w:val="clear" w:color="auto" w:fill="0078D4"/>
            <w:vAlign w:val="center"/>
          </w:tcPr>
          <w:p>
            <w:pPr>
              <w:spacing w:after="40"/>
              <w:jc w:val="left"/>
            </w:pPr>
            <w:r>
              <w:rPr>
                <w:rFonts w:ascii="Calibri" w:hAnsi="Calibri"/>
                <w:b/>
                <w:color w:val="FFFFFF"/>
                <w:sz w:val="21"/>
              </w:rPr>
              <w:t>Best for</w:t>
            </w:r>
          </w:p>
        </w:tc>
        <w:tc>
          <w:tcPr>
            <w:tcW w:type="dxa" w:w="2736"/>
            <w:shd w:val="clear" w:color="auto" w:fill="0078D4"/>
            <w:vAlign w:val="center"/>
          </w:tcPr>
          <w:p>
            <w:pPr>
              <w:spacing w:after="40"/>
              <w:jc w:val="left"/>
            </w:pPr>
            <w:r>
              <w:rPr>
                <w:rFonts w:ascii="Calibri" w:hAnsi="Calibri"/>
                <w:b/>
                <w:color w:val="FFFFFF"/>
                <w:sz w:val="21"/>
              </w:rPr>
              <w:t>Tools needed</w:t>
            </w:r>
          </w:p>
        </w:tc>
        <w:tc>
          <w:tcPr>
            <w:tcW w:type="dxa" w:w="1872"/>
            <w:shd w:val="clear" w:color="auto" w:fill="0078D4"/>
            <w:vAlign w:val="center"/>
          </w:tcPr>
          <w:p>
            <w:pPr>
              <w:spacing w:after="40"/>
              <w:jc w:val="left"/>
            </w:pPr>
            <w:r>
              <w:rPr>
                <w:rFonts w:ascii="Calibri" w:hAnsi="Calibri"/>
                <w:b/>
                <w:color w:val="FFFFFF"/>
                <w:sz w:val="21"/>
              </w:rPr>
              <w:t>Time to first paste</w:t>
            </w:r>
          </w:p>
        </w:tc>
      </w:tr>
      <w:tr>
        <w:tc>
          <w:tcPr>
            <w:tcW w:type="dxa" w:w="2304"/>
            <w:vAlign w:val="center"/>
            <w:shd w:val="clear" w:color="auto" w:fill="F4F8FB"/>
          </w:tcPr>
          <w:p>
            <w:pPr>
              <w:spacing w:after="40"/>
            </w:pPr>
            <w:r>
              <w:rPr>
                <w:rFonts w:ascii="Calibri" w:hAnsi="Calibri"/>
                <w:color w:val="1B2A4A"/>
                <w:sz w:val="20"/>
              </w:rPr>
              <w:t>A. Bash one-liner</w:t>
            </w:r>
          </w:p>
        </w:tc>
        <w:tc>
          <w:tcPr>
            <w:tcW w:type="dxa" w:w="3744"/>
            <w:vAlign w:val="center"/>
            <w:shd w:val="clear" w:color="auto" w:fill="F4F8FB"/>
          </w:tcPr>
          <w:p>
            <w:pPr>
              <w:spacing w:after="40"/>
            </w:pPr>
            <w:r>
              <w:rPr>
                <w:rFonts w:ascii="Calibri" w:hAnsi="Calibri"/>
                <w:color w:val="1B2A4A"/>
                <w:sz w:val="20"/>
              </w:rPr>
              <w:t>First-time trial, customer demo, Cloud Shell users</w:t>
            </w:r>
          </w:p>
        </w:tc>
        <w:tc>
          <w:tcPr>
            <w:tcW w:type="dxa" w:w="2736"/>
            <w:vAlign w:val="center"/>
            <w:shd w:val="clear" w:color="auto" w:fill="F4F8FB"/>
          </w:tcPr>
          <w:p>
            <w:pPr>
              <w:spacing w:after="40"/>
            </w:pPr>
            <w:r>
              <w:rPr>
                <w:rFonts w:ascii="Calibri" w:hAnsi="Calibri"/>
                <w:color w:val="1B2A4A"/>
                <w:sz w:val="20"/>
              </w:rPr>
              <w:t>Browser + Azure CLI (Cloud Shell has both)</w:t>
            </w:r>
          </w:p>
        </w:tc>
        <w:tc>
          <w:tcPr>
            <w:tcW w:type="dxa" w:w="1872"/>
            <w:vAlign w:val="center"/>
            <w:shd w:val="clear" w:color="auto" w:fill="F4F8FB"/>
          </w:tcPr>
          <w:p>
            <w:pPr>
              <w:spacing w:after="40"/>
            </w:pPr>
            <w:r>
              <w:rPr>
                <w:rFonts w:ascii="Calibri" w:hAnsi="Calibri"/>
                <w:color w:val="1B2A4A"/>
                <w:sz w:val="20"/>
              </w:rPr>
              <w:t>10 seconds</w:t>
            </w:r>
          </w:p>
        </w:tc>
      </w:tr>
      <w:tr>
        <w:tc>
          <w:tcPr>
            <w:tcW w:type="dxa" w:w="2304"/>
            <w:vAlign w:val="center"/>
          </w:tcPr>
          <w:p>
            <w:pPr>
              <w:spacing w:after="40"/>
            </w:pPr>
            <w:r>
              <w:rPr>
                <w:rFonts w:ascii="Calibri" w:hAnsi="Calibri"/>
                <w:color w:val="1B2A4A"/>
                <w:sz w:val="20"/>
              </w:rPr>
              <w:t>B. Terraform stack module</w:t>
            </w:r>
          </w:p>
        </w:tc>
        <w:tc>
          <w:tcPr>
            <w:tcW w:type="dxa" w:w="3744"/>
            <w:vAlign w:val="center"/>
          </w:tcPr>
          <w:p>
            <w:pPr>
              <w:spacing w:after="40"/>
            </w:pPr>
            <w:r>
              <w:rPr>
                <w:rFonts w:ascii="Calibri" w:hAnsi="Calibri"/>
                <w:color w:val="1B2A4A"/>
                <w:sz w:val="20"/>
              </w:rPr>
              <w:t>IaC pipelines, repeatable customer envs, GitOps</w:t>
            </w:r>
          </w:p>
        </w:tc>
        <w:tc>
          <w:tcPr>
            <w:tcW w:type="dxa" w:w="2736"/>
            <w:vAlign w:val="center"/>
          </w:tcPr>
          <w:p>
            <w:pPr>
              <w:spacing w:after="40"/>
            </w:pPr>
            <w:r>
              <w:rPr>
                <w:rFonts w:ascii="Calibri" w:hAnsi="Calibri"/>
                <w:color w:val="1B2A4A"/>
                <w:sz w:val="20"/>
              </w:rPr>
              <w:t>Terraform 1.5+ and Azure CLI logged in</w:t>
            </w:r>
          </w:p>
        </w:tc>
        <w:tc>
          <w:tcPr>
            <w:tcW w:type="dxa" w:w="1872"/>
            <w:vAlign w:val="center"/>
          </w:tcPr>
          <w:p>
            <w:pPr>
              <w:spacing w:after="40"/>
            </w:pPr>
            <w:r>
              <w:rPr>
                <w:rFonts w:ascii="Calibri" w:hAnsi="Calibri"/>
                <w:color w:val="1B2A4A"/>
                <w:sz w:val="20"/>
              </w:rPr>
              <w:t>2 minutes</w:t>
            </w:r>
          </w:p>
        </w:tc>
      </w:tr>
      <w:tr>
        <w:tc>
          <w:tcPr>
            <w:tcW w:type="dxa" w:w="2304"/>
            <w:vAlign w:val="center"/>
            <w:shd w:val="clear" w:color="auto" w:fill="F4F8FB"/>
          </w:tcPr>
          <w:p>
            <w:pPr>
              <w:spacing w:after="40"/>
            </w:pPr>
            <w:r>
              <w:rPr>
                <w:rFonts w:ascii="Calibri" w:hAnsi="Calibri"/>
                <w:color w:val="1B2A4A"/>
                <w:sz w:val="20"/>
              </w:rPr>
              <w:t>C. Azure Portal</w:t>
            </w:r>
          </w:p>
        </w:tc>
        <w:tc>
          <w:tcPr>
            <w:tcW w:type="dxa" w:w="3744"/>
            <w:vAlign w:val="center"/>
            <w:shd w:val="clear" w:color="auto" w:fill="F4F8FB"/>
          </w:tcPr>
          <w:p>
            <w:pPr>
              <w:spacing w:after="40"/>
            </w:pPr>
            <w:r>
              <w:rPr>
                <w:rFonts w:ascii="Calibri" w:hAnsi="Calibri"/>
                <w:color w:val="1B2A4A"/>
                <w:sz w:val="20"/>
              </w:rPr>
              <w:t>Click-through customers, governance-controlled subscriptions</w:t>
            </w:r>
          </w:p>
        </w:tc>
        <w:tc>
          <w:tcPr>
            <w:tcW w:type="dxa" w:w="2736"/>
            <w:vAlign w:val="center"/>
            <w:shd w:val="clear" w:color="auto" w:fill="F4F8FB"/>
          </w:tcPr>
          <w:p>
            <w:pPr>
              <w:spacing w:after="40"/>
            </w:pPr>
            <w:r>
              <w:rPr>
                <w:rFonts w:ascii="Calibri" w:hAnsi="Calibri"/>
                <w:color w:val="1B2A4A"/>
                <w:sz w:val="20"/>
              </w:rPr>
              <w:t>Browser only</w:t>
            </w:r>
          </w:p>
        </w:tc>
        <w:tc>
          <w:tcPr>
            <w:tcW w:type="dxa" w:w="1872"/>
            <w:vAlign w:val="center"/>
            <w:shd w:val="clear" w:color="auto" w:fill="F4F8FB"/>
          </w:tcPr>
          <w:p>
            <w:pPr>
              <w:spacing w:after="40"/>
            </w:pPr>
            <w:r>
              <w:rPr>
                <w:rFonts w:ascii="Calibri" w:hAnsi="Calibri"/>
                <w:color w:val="1B2A4A"/>
                <w:sz w:val="20"/>
              </w:rPr>
              <w:t>1 minute</w:t>
            </w:r>
          </w:p>
        </w:tc>
      </w:tr>
    </w:tbl>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6" w:space="0" w:color="0078D4"/>
              <w:left w:val="single" w:sz="6" w:space="0" w:color="0078D4"/>
              <w:bottom w:val="single" w:sz="6" w:space="0" w:color="0078D4"/>
              <w:right w:val="single" w:sz="6" w:space="0" w:color="0078D4"/>
            </w:tcBorders>
          </w:tcPr>
          <w:p>
            <w:pPr>
              <w:spacing w:after="40"/>
            </w:pPr>
            <w:r>
              <w:rPr>
                <w:rFonts w:ascii="Calibri" w:hAnsi="Calibri"/>
                <w:b/>
                <w:color w:val="005A9E"/>
                <w:sz w:val="21"/>
              </w:rPr>
              <w:t>Why three?</w:t>
            </w:r>
          </w:p>
          <w:p>
            <w:r>
              <w:rPr>
                <w:rFonts w:ascii="Calibri" w:hAnsi="Calibri"/>
                <w:color w:val="1B2A4A"/>
                <w:sz w:val="21"/>
              </w:rPr>
              <w:t>Customers do not all work the same way. A platform team wants Terraform. A network engineer trialling the kit wants a paste. A CTO walking through with procurement wants buttons. Three paths, identical outcome.</w:t>
            </w:r>
          </w:p>
        </w:tc>
      </w:tr>
    </w:tbl>
    <w:p/>
    <w:p>
      <w:r>
        <w:br w:type="page"/>
      </w:r>
    </w:p>
    <w:p>
      <w:pPr>
        <w:pStyle w:val="Heading1"/>
      </w:pPr>
      <w:r>
        <w:t>3. Prerequisites</w:t>
      </w:r>
    </w:p>
    <w:p>
      <w:r>
        <w:rPr>
          <w:rFonts w:ascii="Calibri" w:hAnsi="Calibri"/>
          <w:b w:val="0"/>
          <w:i w:val="0"/>
          <w:sz w:val="22"/>
        </w:rPr>
        <w:t>Confirm each item before kicking off the deployment. The script will stop early with a clear message if any of the first three are missing, so you do not waste time mid-deploy.</w:t>
      </w:r>
    </w:p>
    <w:p>
      <w:pPr>
        <w:spacing w:after="80"/>
        <w:ind w:left="144"/>
      </w:pPr>
      <w:r>
        <w:rPr>
          <w:rFonts w:ascii="Segoe UI Symbol" w:hAnsi="Segoe UI Symbol"/>
          <w:color w:val="005A9E"/>
          <w:sz w:val="26"/>
        </w:rPr>
        <w:t xml:space="preserve">☐  </w:t>
      </w:r>
      <w:r>
        <w:rPr>
          <w:rFonts w:ascii="Calibri" w:hAnsi="Calibri"/>
          <w:color w:val="1B2A4A"/>
          <w:sz w:val="22"/>
        </w:rPr>
        <w:t>Azure subscription with Contributor role on the target resource group (or rights to create one).</w:t>
      </w:r>
    </w:p>
    <w:p>
      <w:pPr>
        <w:spacing w:after="80"/>
        <w:ind w:left="144"/>
      </w:pPr>
      <w:r>
        <w:rPr>
          <w:rFonts w:ascii="Segoe UI Symbol" w:hAnsi="Segoe UI Symbol"/>
          <w:color w:val="005A9E"/>
          <w:sz w:val="26"/>
        </w:rPr>
        <w:t xml:space="preserve">☐  </w:t>
      </w:r>
      <w:r>
        <w:rPr>
          <w:rFonts w:ascii="Calibri" w:hAnsi="Calibri"/>
          <w:color w:val="1B2A4A"/>
          <w:sz w:val="22"/>
        </w:rPr>
        <w:t>Azure CLI 2.50 or later installed and logged in. In Cloud Shell this is preinstalled and pre-authenticated.</w:t>
      </w:r>
    </w:p>
    <w:p>
      <w:pPr>
        <w:spacing w:after="80"/>
        <w:ind w:left="144"/>
      </w:pPr>
      <w:r>
        <w:rPr>
          <w:rFonts w:ascii="Segoe UI Symbol" w:hAnsi="Segoe UI Symbol"/>
          <w:color w:val="005A9E"/>
          <w:sz w:val="26"/>
        </w:rPr>
        <w:t xml:space="preserve">☐  </w:t>
      </w:r>
      <w:r>
        <w:rPr>
          <w:rFonts w:ascii="Calibri" w:hAnsi="Calibri"/>
          <w:color w:val="1B2A4A"/>
          <w:sz w:val="22"/>
        </w:rPr>
        <w:t>Marketplace terms can be accepted automatically by the script; you do not need to click through anything in the Portal first.</w:t>
      </w:r>
    </w:p>
    <w:p>
      <w:pPr>
        <w:spacing w:after="80"/>
        <w:ind w:left="144"/>
      </w:pPr>
      <w:r>
        <w:rPr>
          <w:rFonts w:ascii="Segoe UI Symbol" w:hAnsi="Segoe UI Symbol"/>
          <w:color w:val="005A9E"/>
          <w:sz w:val="26"/>
        </w:rPr>
        <w:t xml:space="preserve">☐  </w:t>
      </w:r>
      <w:r>
        <w:rPr>
          <w:rFonts w:ascii="Calibri" w:hAnsi="Calibri"/>
          <w:color w:val="1B2A4A"/>
          <w:sz w:val="22"/>
        </w:rPr>
        <w:t>Quota for the DSv5 family (CLMS, 4 vCPU) and DSv3 family (vPB, 8 vCPU) in your chosen region. The script does a soft quota probe and warns without blocking.</w:t>
      </w:r>
    </w:p>
    <w:p>
      <w:pPr>
        <w:spacing w:after="80"/>
        <w:ind w:left="144"/>
      </w:pPr>
      <w:r>
        <w:rPr>
          <w:rFonts w:ascii="Segoe UI Symbol" w:hAnsi="Segoe UI Symbol"/>
          <w:color w:val="005A9E"/>
          <w:sz w:val="26"/>
        </w:rPr>
        <w:t xml:space="preserve">☐  </w:t>
      </w:r>
      <w:r>
        <w:rPr>
          <w:rFonts w:ascii="Calibri" w:hAnsi="Calibri"/>
          <w:color w:val="1B2A4A"/>
          <w:sz w:val="22"/>
        </w:rPr>
        <w:t>Open egress on the VM subnets to reach the CLMS public IP on TCP/443 (only needed once sensors are deployed).</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6" w:space="0" w:color="0078D4"/>
              <w:left w:val="single" w:sz="6" w:space="0" w:color="0078D4"/>
              <w:bottom w:val="single" w:sz="6" w:space="0" w:color="0078D4"/>
              <w:right w:val="single" w:sz="6" w:space="0" w:color="0078D4"/>
            </w:tcBorders>
          </w:tcPr>
          <w:p>
            <w:pPr>
              <w:spacing w:after="40"/>
            </w:pPr>
            <w:r>
              <w:rPr>
                <w:rFonts w:ascii="Calibri" w:hAnsi="Calibri"/>
                <w:b/>
                <w:color w:val="005A9E"/>
                <w:sz w:val="21"/>
              </w:rPr>
              <w:t>Region note</w:t>
            </w:r>
          </w:p>
          <w:p>
            <w:r>
              <w:rPr>
                <w:rFonts w:ascii="Calibri" w:hAnsi="Calibri"/>
                <w:color w:val="1B2A4A"/>
                <w:sz w:val="21"/>
              </w:rPr>
              <w:t>Default region is eastus2. CLMS and vPB Marketplace images are also published in westus2, northeurope, westeurope, southeastasia. Run 'az vm image list --offer keysight-cloudlens-manager-preview --publisher keysight-technologies-cloudlens --all' to confirm before trying a less-common region.</w:t>
            </w:r>
          </w:p>
        </w:tc>
      </w:tr>
    </w:tbl>
    <w:p/>
    <w:p>
      <w:r>
        <w:br w:type="page"/>
      </w:r>
    </w:p>
    <w:p>
      <w:pPr>
        <w:pStyle w:val="Heading1"/>
      </w:pPr>
      <w:r>
        <w:t>4. Path A: Bash One-Liner</w:t>
      </w:r>
    </w:p>
    <w:p>
      <w:r>
        <w:rPr>
          <w:rFonts w:ascii="Calibri" w:hAnsi="Calibri"/>
          <w:b w:val="0"/>
          <w:i w:val="0"/>
          <w:sz w:val="22"/>
        </w:rPr>
        <w:t>The fastest way to a working stack. One paste in Azure Cloud Shell or any local terminal with the Azure CLI; the script handles the rest.</w:t>
      </w:r>
    </w:p>
    <w:p>
      <w:pPr>
        <w:spacing w:before="80" w:after="160"/>
        <w:ind w:left="216"/>
        <w:shd w:val="clear" w:color="auto" w:fill="F2F2F2"/>
      </w:pPr>
      <w:r>
        <w:rPr>
          <w:rFonts w:ascii="Courier New" w:hAnsi="Courier New"/>
          <w:color w:val="1B2A4A"/>
          <w:sz w:val="19"/>
        </w:rPr>
        <w:t>curl -sSL https://raw.githubusercontent.com/Keysight-Tech/cloudlens-ansible-azure/main/deploy/deploy-stack.sh | bash</w:t>
      </w:r>
    </w:p>
    <w:p>
      <w:r>
        <w:rPr>
          <w:rFonts w:ascii="Calibri" w:hAnsi="Calibri"/>
          <w:b w:val="0"/>
          <w:i w:val="0"/>
          <w:sz w:val="22"/>
        </w:rPr>
        <w:t>Prefer to inspect before running? Download then execute:</w:t>
      </w:r>
    </w:p>
    <w:p>
      <w:pPr>
        <w:spacing w:before="80" w:after="160"/>
        <w:ind w:left="216"/>
        <w:shd w:val="clear" w:color="auto" w:fill="F2F2F2"/>
      </w:pPr>
      <w:r>
        <w:rPr>
          <w:rFonts w:ascii="Courier New" w:hAnsi="Courier New"/>
          <w:color w:val="1B2A4A"/>
          <w:sz w:val="19"/>
        </w:rPr>
        <w:t>curl -sSL -o deploy-stack.sh \</w:t>
        <w:br/>
        <w:t xml:space="preserve">  https://raw.githubusercontent.com/Keysight-Tech/cloudlens-ansible-azure/main/deploy/deploy-stack.sh</w:t>
        <w:br/>
        <w:t>less deploy-stack.sh</w:t>
        <w:br/>
        <w:t>bash deploy-stack.sh</w:t>
      </w:r>
    </w:p>
    <w:p>
      <w:pPr>
        <w:pStyle w:val="Heading2"/>
      </w:pPr>
      <w:r>
        <w:t>4.1  What the script does (phase by phase)</w:t>
      </w:r>
    </w:p>
    <w:p>
      <w:r>
        <w:rPr>
          <w:rFonts w:ascii="Calibri" w:hAnsi="Calibri"/>
          <w:b w:val="0"/>
          <w:i w:val="0"/>
          <w:sz w:val="22"/>
        </w:rPr>
        <w:t>The script runs 10 phases. Each phase prints a banner with its name, so if anything fails you know exactly where you are.</w:t>
      </w:r>
    </w:p>
    <w:p>
      <w:pPr>
        <w:pStyle w:val="ListNumber"/>
      </w:pPr>
      <w:r>
        <w:rPr>
          <w:rFonts w:ascii="Calibri" w:hAnsi="Calibri"/>
          <w:color w:val="1B2A4A"/>
          <w:sz w:val="22"/>
        </w:rPr>
        <w:t>Banner and environment detection: prints the version header and detects Cloud Shell vs local terminal so prompts adapt accordingly.</w:t>
      </w:r>
    </w:p>
    <w:p>
      <w:pPr>
        <w:pStyle w:val="ListNumber"/>
      </w:pPr>
      <w:r>
        <w:rPr>
          <w:rFonts w:ascii="Calibri" w:hAnsi="Calibri"/>
          <w:color w:val="1B2A4A"/>
          <w:sz w:val="22"/>
        </w:rPr>
        <w:t>Pre-flight checks: confirms az CLI is installed, you are logged in, and probes vCPU quota for the DSv5 and DSv3 families.</w:t>
      </w:r>
    </w:p>
    <w:p>
      <w:pPr>
        <w:pStyle w:val="ListNumber"/>
      </w:pPr>
      <w:r>
        <w:rPr>
          <w:rFonts w:ascii="Calibri" w:hAnsi="Calibri"/>
          <w:color w:val="1B2A4A"/>
          <w:sz w:val="22"/>
        </w:rPr>
        <w:t>Customer input: prompts for resource group name (default cloudlens-rg), Azure region (default eastus2), and a strong admin password. All defaults can be overridden by flags (see 4.2).</w:t>
      </w:r>
    </w:p>
    <w:p>
      <w:pPr>
        <w:pStyle w:val="ListNumber"/>
      </w:pPr>
      <w:r>
        <w:rPr>
          <w:rFonts w:ascii="Calibri" w:hAnsi="Calibri"/>
          <w:color w:val="1B2A4A"/>
          <w:sz w:val="22"/>
        </w:rPr>
        <w:t>Marketplace terms acceptance: runs 'az vm image terms accept' for the CLMS and (if selected) vPB plans so the deployments do not stall on marketplace consent.</w:t>
      </w:r>
    </w:p>
    <w:p>
      <w:pPr>
        <w:pStyle w:val="ListNumber"/>
      </w:pPr>
      <w:r>
        <w:rPr>
          <w:rFonts w:ascii="Calibri" w:hAnsi="Calibri"/>
          <w:color w:val="1B2A4A"/>
          <w:sz w:val="22"/>
        </w:rPr>
        <w:t>Resource group creation: creates the RG only if it does not exist. Re-running the script against an existing RG is safe.</w:t>
      </w:r>
    </w:p>
    <w:p>
      <w:pPr>
        <w:pStyle w:val="ListNumber"/>
      </w:pPr>
      <w:r>
        <w:rPr>
          <w:rFonts w:ascii="Calibri" w:hAnsi="Calibri"/>
          <w:color w:val="1B2A4A"/>
          <w:sz w:val="22"/>
        </w:rPr>
        <w:t>CLMS deployment: deploys the clms-marketplace.json ARM template. Waits for the VM provisioning state to be Succeeded and captures the public IP.</w:t>
      </w:r>
    </w:p>
    <w:p>
      <w:pPr>
        <w:pStyle w:val="ListNumber"/>
      </w:pPr>
      <w:r>
        <w:rPr>
          <w:rFonts w:ascii="Calibri" w:hAnsi="Calibri"/>
          <w:color w:val="1B2A4A"/>
          <w:sz w:val="22"/>
        </w:rPr>
        <w:t>Wait for CLMS init: polls the CLMS HTTPS endpoint until the UI is reachable (typically 15 minutes). Prints a one-line progress bar.</w:t>
      </w:r>
    </w:p>
    <w:p>
      <w:pPr>
        <w:pStyle w:val="ListNumber"/>
      </w:pPr>
      <w:r>
        <w:rPr>
          <w:rFonts w:ascii="Calibri" w:hAnsi="Calibri"/>
          <w:color w:val="1B2A4A"/>
          <w:sz w:val="22"/>
        </w:rPr>
        <w:t>vPB deployment (optional): the prompt defaults to Yes; type N to skip. When enabled, deploys vpb-marketplace.json and captures the management public IP.</w:t>
      </w:r>
    </w:p>
    <w:p>
      <w:pPr>
        <w:pStyle w:val="ListNumber"/>
      </w:pPr>
      <w:r>
        <w:rPr>
          <w:rFonts w:ascii="Calibri" w:hAnsi="Calibri"/>
          <w:color w:val="1B2A4A"/>
          <w:sz w:val="22"/>
        </w:rPr>
        <w:t>Manual project key step: the script pauses and tells you to open the CLMS UI, create a project, and paste the project key back into the terminal. This is the one step that cannot be automated end to end today (CLMS does not yet expose a project-create REST endpoint).</w:t>
      </w:r>
    </w:p>
    <w:p>
      <w:pPr>
        <w:pStyle w:val="ListNumber"/>
      </w:pPr>
      <w:r>
        <w:rPr>
          <w:rFonts w:ascii="Calibri" w:hAnsi="Calibri"/>
          <w:color w:val="1B2A4A"/>
          <w:sz w:val="22"/>
        </w:rPr>
        <w:t>Sensor chain (optional): hands off to quickstart.sh, which deploys sensors to every Azure VM tagged cloudlens=yes. Prints a final summary and writes cloudlens-deploy-summary.txt with all IPs and credentials.</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6" w:space="0" w:color="0078D4"/>
              <w:left w:val="single" w:sz="6" w:space="0" w:color="0078D4"/>
              <w:bottom w:val="single" w:sz="6" w:space="0" w:color="0078D4"/>
              <w:right w:val="single" w:sz="6" w:space="0" w:color="0078D4"/>
            </w:tcBorders>
          </w:tcPr>
          <w:p>
            <w:pPr>
              <w:spacing w:after="40"/>
            </w:pPr>
            <w:r>
              <w:rPr>
                <w:rFonts w:ascii="Calibri" w:hAnsi="Calibri"/>
                <w:b/>
                <w:color w:val="005A9E"/>
                <w:sz w:val="21"/>
              </w:rPr>
              <w:t>Output you can keep</w:t>
            </w:r>
          </w:p>
          <w:p>
            <w:r>
              <w:rPr>
                <w:rFonts w:ascii="Calibri" w:hAnsi="Calibri"/>
                <w:color w:val="1B2A4A"/>
                <w:sz w:val="21"/>
              </w:rPr>
              <w:t>Every run writes 'cloudlens-deploy-stack.log' (raw stdout/stderr) and 'cloudlens-deploy-summary.txt' (RG name, VM names, IPs, default creds). Save both to your customer ticket or runbook archive.</w:t>
            </w:r>
          </w:p>
        </w:tc>
      </w:tr>
    </w:tbl>
    <w:p/>
    <w:p>
      <w:pPr>
        <w:pStyle w:val="Heading2"/>
      </w:pPr>
      <w:r>
        <w:t>4.2  Flags and overrides</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0078D4"/>
            <w:vAlign w:val="center"/>
          </w:tcPr>
          <w:p>
            <w:pPr>
              <w:spacing w:after="40"/>
              <w:jc w:val="left"/>
            </w:pPr>
            <w:r>
              <w:rPr>
                <w:rFonts w:ascii="Calibri" w:hAnsi="Calibri"/>
                <w:b/>
                <w:color w:val="FFFFFF"/>
                <w:sz w:val="21"/>
              </w:rPr>
              <w:t>Flag</w:t>
            </w:r>
          </w:p>
        </w:tc>
        <w:tc>
          <w:tcPr>
            <w:tcW w:type="dxa" w:w="6624"/>
            <w:shd w:val="clear" w:color="auto" w:fill="0078D4"/>
            <w:vAlign w:val="center"/>
          </w:tcPr>
          <w:p>
            <w:pPr>
              <w:spacing w:after="40"/>
              <w:jc w:val="left"/>
            </w:pPr>
            <w:r>
              <w:rPr>
                <w:rFonts w:ascii="Calibri" w:hAnsi="Calibri"/>
                <w:b/>
                <w:color w:val="FFFFFF"/>
                <w:sz w:val="21"/>
              </w:rPr>
              <w:t>Effect</w:t>
            </w:r>
          </w:p>
        </w:tc>
      </w:tr>
      <w:tr>
        <w:tc>
          <w:tcPr>
            <w:tcW w:type="dxa" w:w="2880"/>
            <w:vAlign w:val="center"/>
            <w:shd w:val="clear" w:color="auto" w:fill="F4F8FB"/>
          </w:tcPr>
          <w:p>
            <w:pPr>
              <w:spacing w:after="40"/>
            </w:pPr>
            <w:r>
              <w:rPr>
                <w:rFonts w:ascii="Calibri" w:hAnsi="Calibri"/>
                <w:color w:val="1B2A4A"/>
                <w:sz w:val="20"/>
              </w:rPr>
              <w:t>--dry-run</w:t>
            </w:r>
          </w:p>
        </w:tc>
        <w:tc>
          <w:tcPr>
            <w:tcW w:type="dxa" w:w="6624"/>
            <w:vAlign w:val="center"/>
            <w:shd w:val="clear" w:color="auto" w:fill="F4F8FB"/>
          </w:tcPr>
          <w:p>
            <w:pPr>
              <w:spacing w:after="40"/>
            </w:pPr>
            <w:r>
              <w:rPr>
                <w:rFonts w:ascii="Calibri" w:hAnsi="Calibri"/>
                <w:color w:val="1B2A4A"/>
                <w:sz w:val="20"/>
              </w:rPr>
              <w:t>Walk through every prompt and print the az commands without touching Azure. Use this to preview the run.</w:t>
            </w:r>
          </w:p>
        </w:tc>
      </w:tr>
      <w:tr>
        <w:tc>
          <w:tcPr>
            <w:tcW w:type="dxa" w:w="2880"/>
            <w:vAlign w:val="center"/>
          </w:tcPr>
          <w:p>
            <w:pPr>
              <w:spacing w:after="40"/>
            </w:pPr>
            <w:r>
              <w:rPr>
                <w:rFonts w:ascii="Calibri" w:hAnsi="Calibri"/>
                <w:color w:val="1B2A4A"/>
                <w:sz w:val="20"/>
              </w:rPr>
              <w:t>--resource-group NAME</w:t>
            </w:r>
          </w:p>
        </w:tc>
        <w:tc>
          <w:tcPr>
            <w:tcW w:type="dxa" w:w="6624"/>
            <w:vAlign w:val="center"/>
          </w:tcPr>
          <w:p>
            <w:pPr>
              <w:spacing w:after="40"/>
            </w:pPr>
            <w:r>
              <w:rPr>
                <w:rFonts w:ascii="Calibri" w:hAnsi="Calibri"/>
                <w:color w:val="1B2A4A"/>
                <w:sz w:val="20"/>
              </w:rPr>
              <w:t>Override the default RG name (cloudlens-rg). Useful when deploying into an existing customer RG.</w:t>
            </w:r>
          </w:p>
        </w:tc>
      </w:tr>
      <w:tr>
        <w:tc>
          <w:tcPr>
            <w:tcW w:type="dxa" w:w="2880"/>
            <w:vAlign w:val="center"/>
            <w:shd w:val="clear" w:color="auto" w:fill="F4F8FB"/>
          </w:tcPr>
          <w:p>
            <w:pPr>
              <w:spacing w:after="40"/>
            </w:pPr>
            <w:r>
              <w:rPr>
                <w:rFonts w:ascii="Calibri" w:hAnsi="Calibri"/>
                <w:color w:val="1B2A4A"/>
                <w:sz w:val="20"/>
              </w:rPr>
              <w:t>--location REGION</w:t>
            </w:r>
          </w:p>
        </w:tc>
        <w:tc>
          <w:tcPr>
            <w:tcW w:type="dxa" w:w="6624"/>
            <w:vAlign w:val="center"/>
            <w:shd w:val="clear" w:color="auto" w:fill="F4F8FB"/>
          </w:tcPr>
          <w:p>
            <w:pPr>
              <w:spacing w:after="40"/>
            </w:pPr>
            <w:r>
              <w:rPr>
                <w:rFonts w:ascii="Calibri" w:hAnsi="Calibri"/>
                <w:color w:val="1B2A4A"/>
                <w:sz w:val="20"/>
              </w:rPr>
              <w:t>Override the default region (eastus2). Pass any region that carries the Marketplace images.</w:t>
            </w:r>
          </w:p>
        </w:tc>
      </w:tr>
      <w:tr>
        <w:tc>
          <w:tcPr>
            <w:tcW w:type="dxa" w:w="2880"/>
            <w:vAlign w:val="center"/>
          </w:tcPr>
          <w:p>
            <w:pPr>
              <w:spacing w:after="40"/>
            </w:pPr>
            <w:r>
              <w:rPr>
                <w:rFonts w:ascii="Calibri" w:hAnsi="Calibri"/>
                <w:color w:val="1B2A4A"/>
                <w:sz w:val="20"/>
              </w:rPr>
              <w:t>--no-vpb</w:t>
            </w:r>
          </w:p>
        </w:tc>
        <w:tc>
          <w:tcPr>
            <w:tcW w:type="dxa" w:w="6624"/>
            <w:vAlign w:val="center"/>
          </w:tcPr>
          <w:p>
            <w:pPr>
              <w:spacing w:after="40"/>
            </w:pPr>
            <w:r>
              <w:rPr>
                <w:rFonts w:ascii="Calibri" w:hAnsi="Calibri"/>
                <w:color w:val="1B2A4A"/>
                <w:sz w:val="20"/>
              </w:rPr>
              <w:t>Skip the vPB phase entirely. CLMS-only deploys complete in about 20 minutes.</w:t>
            </w:r>
          </w:p>
        </w:tc>
      </w:tr>
      <w:tr>
        <w:tc>
          <w:tcPr>
            <w:tcW w:type="dxa" w:w="2880"/>
            <w:vAlign w:val="center"/>
            <w:shd w:val="clear" w:color="auto" w:fill="F4F8FB"/>
          </w:tcPr>
          <w:p>
            <w:pPr>
              <w:spacing w:after="40"/>
            </w:pPr>
            <w:r>
              <w:rPr>
                <w:rFonts w:ascii="Calibri" w:hAnsi="Calibri"/>
                <w:color w:val="1B2A4A"/>
                <w:sz w:val="20"/>
              </w:rPr>
              <w:t>--no-sensors</w:t>
            </w:r>
          </w:p>
        </w:tc>
        <w:tc>
          <w:tcPr>
            <w:tcW w:type="dxa" w:w="6624"/>
            <w:vAlign w:val="center"/>
            <w:shd w:val="clear" w:color="auto" w:fill="F4F8FB"/>
          </w:tcPr>
          <w:p>
            <w:pPr>
              <w:spacing w:after="40"/>
            </w:pPr>
            <w:r>
              <w:rPr>
                <w:rFonts w:ascii="Calibri" w:hAnsi="Calibri"/>
                <w:color w:val="1B2A4A"/>
                <w:sz w:val="20"/>
              </w:rPr>
              <w:t>Stop after the CLMS (and vPB) phase. Run quickstart.sh later yourself if you want sensors then.</w:t>
            </w:r>
          </w:p>
        </w:tc>
      </w:tr>
      <w:tr>
        <w:tc>
          <w:tcPr>
            <w:tcW w:type="dxa" w:w="2880"/>
            <w:vAlign w:val="center"/>
          </w:tcPr>
          <w:p>
            <w:pPr>
              <w:spacing w:after="40"/>
            </w:pPr>
            <w:r>
              <w:rPr>
                <w:rFonts w:ascii="Calibri" w:hAnsi="Calibri"/>
                <w:color w:val="1B2A4A"/>
                <w:sz w:val="20"/>
              </w:rPr>
              <w:t>-h | --help</w:t>
            </w:r>
          </w:p>
        </w:tc>
        <w:tc>
          <w:tcPr>
            <w:tcW w:type="dxa" w:w="6624"/>
            <w:vAlign w:val="center"/>
          </w:tcPr>
          <w:p>
            <w:pPr>
              <w:spacing w:after="40"/>
            </w:pPr>
            <w:r>
              <w:rPr>
                <w:rFonts w:ascii="Calibri" w:hAnsi="Calibri"/>
                <w:color w:val="1B2A4A"/>
                <w:sz w:val="20"/>
              </w:rPr>
              <w:t>Print the help banner with all flags and a phase summary.</w:t>
            </w:r>
          </w:p>
        </w:tc>
      </w:tr>
    </w:tbl>
    <w:p/>
    <w:p>
      <w:r>
        <w:br w:type="page"/>
      </w:r>
    </w:p>
    <w:p>
      <w:pPr>
        <w:pStyle w:val="Heading1"/>
      </w:pPr>
      <w:r>
        <w:t>5. Path B: Terraform Stack Module</w:t>
      </w:r>
    </w:p>
    <w:p>
      <w:r>
        <w:rPr>
          <w:rFonts w:ascii="Calibri" w:hAnsi="Calibri"/>
          <w:b w:val="0"/>
          <w:i w:val="0"/>
          <w:sz w:val="22"/>
        </w:rPr>
        <w:t>The stack module wraps the existing clms and vpb modules behind one tfvars file. One 'terraform apply' provisions the resource group, a shared VNet with the right subnets, both VMs, NSGs, NICs and public IPs. The sensors are still deployed separately via Ansible because they touch customer VMs, not Azure resources.</w:t>
      </w:r>
    </w:p>
    <w:p>
      <w:pPr>
        <w:pStyle w:val="Heading2"/>
      </w:pPr>
      <w:r>
        <w:t>5.1  Workflow</w:t>
      </w:r>
    </w:p>
    <w:p>
      <w:pPr>
        <w:pStyle w:val="ListNumber"/>
      </w:pPr>
      <w:r>
        <w:rPr>
          <w:rFonts w:ascii="Calibri" w:hAnsi="Calibri"/>
          <w:color w:val="1B2A4A"/>
          <w:sz w:val="22"/>
        </w:rPr>
        <w:t>Clone the repository and change into the stack module directory.</w:t>
      </w:r>
    </w:p>
    <w:p>
      <w:pPr>
        <w:pStyle w:val="ListNumber"/>
      </w:pPr>
      <w:r>
        <w:rPr>
          <w:rFonts w:ascii="Calibri" w:hAnsi="Calibri"/>
          <w:color w:val="1B2A4A"/>
          <w:sz w:val="22"/>
        </w:rPr>
        <w:t>Copy terraform.tfvars.example to terraform.tfvars and fill in subscription_id and admin_password. Toggle deploy_vpb if you only want CLMS.</w:t>
      </w:r>
    </w:p>
    <w:p>
      <w:pPr>
        <w:pStyle w:val="ListNumber"/>
      </w:pPr>
      <w:r>
        <w:rPr>
          <w:rFonts w:ascii="Calibri" w:hAnsi="Calibri"/>
          <w:color w:val="1B2A4A"/>
          <w:sz w:val="22"/>
        </w:rPr>
        <w:t>Run terraform init to download the azurerm provider.</w:t>
      </w:r>
    </w:p>
    <w:p>
      <w:pPr>
        <w:pStyle w:val="ListNumber"/>
      </w:pPr>
      <w:r>
        <w:rPr>
          <w:rFonts w:ascii="Calibri" w:hAnsi="Calibri"/>
          <w:color w:val="1B2A4A"/>
          <w:sz w:val="22"/>
        </w:rPr>
        <w:t>Run terraform plan to review the resources Terraform will create. Confirm against your subscription's policies.</w:t>
      </w:r>
    </w:p>
    <w:p>
      <w:pPr>
        <w:pStyle w:val="ListNumber"/>
      </w:pPr>
      <w:r>
        <w:rPr>
          <w:rFonts w:ascii="Calibri" w:hAnsi="Calibri"/>
          <w:color w:val="1B2A4A"/>
          <w:sz w:val="22"/>
        </w:rPr>
        <w:t>Run terraform apply. About 8 to 15 minutes later, CLMS and vPB are ready. The outputs print the CLMS UI URL, the vPB management IP and the default credentials.</w:t>
      </w:r>
    </w:p>
    <w:p>
      <w:pPr>
        <w:pStyle w:val="ListNumber"/>
      </w:pPr>
      <w:r>
        <w:rPr>
          <w:rFonts w:ascii="Calibri" w:hAnsi="Calibri"/>
          <w:color w:val="1B2A4A"/>
          <w:sz w:val="22"/>
        </w:rPr>
        <w:t>Open the CLMS UI, create your project, copy the project key, and run quickstart.sh (or deploy-stack.sh --no-vpb) to deploy sensors.</w:t>
      </w:r>
    </w:p>
    <w:p>
      <w:pPr>
        <w:spacing w:before="80" w:after="160"/>
        <w:ind w:left="216"/>
        <w:shd w:val="clear" w:color="auto" w:fill="F2F2F2"/>
      </w:pPr>
      <w:r>
        <w:rPr>
          <w:rFonts w:ascii="Courier New" w:hAnsi="Courier New"/>
          <w:color w:val="1B2A4A"/>
          <w:sz w:val="19"/>
        </w:rPr>
        <w:t>git clone https://github.com/Keysight-Tech/cloudlens-ansible-azure.git</w:t>
        <w:br/>
        <w:t>cd cloudlens-ansible-azure/deploy/terraform/stack</w:t>
        <w:br/>
        <w:t>cp terraform.tfvars.example terraform.tfvars</w:t>
        <w:br/>
        <w:t>$EDITOR terraform.tfvars   # set subscription_id, admin_password</w:t>
        <w:br/>
        <w:t>terraform init</w:t>
        <w:br/>
        <w:t>terraform plan</w:t>
        <w:br/>
        <w:t>terraform apply</w:t>
      </w:r>
    </w:p>
    <w:p>
      <w:pPr>
        <w:pStyle w:val="Heading2"/>
      </w:pPr>
      <w:r>
        <w:t>5.2  What gets created</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color="auto" w:fill="0078D4"/>
            <w:vAlign w:val="center"/>
          </w:tcPr>
          <w:p>
            <w:pPr>
              <w:spacing w:after="40"/>
              <w:jc w:val="left"/>
            </w:pPr>
            <w:r>
              <w:rPr>
                <w:rFonts w:ascii="Calibri" w:hAnsi="Calibri"/>
                <w:b/>
                <w:color w:val="FFFFFF"/>
                <w:sz w:val="21"/>
              </w:rPr>
              <w:t>Resource</w:t>
            </w:r>
          </w:p>
        </w:tc>
        <w:tc>
          <w:tcPr>
            <w:tcW w:type="dxa" w:w="1008"/>
            <w:shd w:val="clear" w:color="auto" w:fill="0078D4"/>
            <w:vAlign w:val="center"/>
          </w:tcPr>
          <w:p>
            <w:pPr>
              <w:spacing w:after="40"/>
              <w:jc w:val="left"/>
            </w:pPr>
            <w:r>
              <w:rPr>
                <w:rFonts w:ascii="Calibri" w:hAnsi="Calibri"/>
                <w:b/>
                <w:color w:val="FFFFFF"/>
                <w:sz w:val="21"/>
              </w:rPr>
              <w:t>Count</w:t>
            </w:r>
          </w:p>
        </w:tc>
        <w:tc>
          <w:tcPr>
            <w:tcW w:type="dxa" w:w="5328"/>
            <w:shd w:val="clear" w:color="auto" w:fill="0078D4"/>
            <w:vAlign w:val="center"/>
          </w:tcPr>
          <w:p>
            <w:pPr>
              <w:spacing w:after="40"/>
              <w:jc w:val="left"/>
            </w:pPr>
            <w:r>
              <w:rPr>
                <w:rFonts w:ascii="Calibri" w:hAnsi="Calibri"/>
                <w:b/>
                <w:color w:val="FFFFFF"/>
                <w:sz w:val="21"/>
              </w:rPr>
              <w:t>Notes</w:t>
            </w:r>
          </w:p>
        </w:tc>
      </w:tr>
      <w:tr>
        <w:tc>
          <w:tcPr>
            <w:tcW w:type="dxa" w:w="2592"/>
            <w:vAlign w:val="center"/>
            <w:shd w:val="clear" w:color="auto" w:fill="F4F8FB"/>
          </w:tcPr>
          <w:p>
            <w:pPr>
              <w:spacing w:after="40"/>
            </w:pPr>
            <w:r>
              <w:rPr>
                <w:rFonts w:ascii="Calibri" w:hAnsi="Calibri"/>
                <w:color w:val="1B2A4A"/>
                <w:sz w:val="20"/>
              </w:rPr>
              <w:t>Resource group</w:t>
            </w:r>
          </w:p>
        </w:tc>
        <w:tc>
          <w:tcPr>
            <w:tcW w:type="dxa" w:w="1008"/>
            <w:vAlign w:val="center"/>
            <w:shd w:val="clear" w:color="auto" w:fill="F4F8FB"/>
          </w:tcPr>
          <w:p>
            <w:pPr>
              <w:spacing w:after="40"/>
            </w:pPr>
            <w:r>
              <w:rPr>
                <w:rFonts w:ascii="Calibri" w:hAnsi="Calibri"/>
                <w:color w:val="1B2A4A"/>
                <w:sz w:val="20"/>
              </w:rPr>
              <w:t>1</w:t>
            </w:r>
          </w:p>
        </w:tc>
        <w:tc>
          <w:tcPr>
            <w:tcW w:type="dxa" w:w="5328"/>
            <w:vAlign w:val="center"/>
            <w:shd w:val="clear" w:color="auto" w:fill="F4F8FB"/>
          </w:tcPr>
          <w:p>
            <w:pPr>
              <w:spacing w:after="40"/>
            </w:pPr>
            <w:r>
              <w:rPr>
                <w:rFonts w:ascii="Calibri" w:hAnsi="Calibri"/>
                <w:color w:val="1B2A4A"/>
                <w:sz w:val="20"/>
              </w:rPr>
              <w:t>cloudlens-rg (override via tfvars)</w:t>
            </w:r>
          </w:p>
        </w:tc>
      </w:tr>
      <w:tr>
        <w:tc>
          <w:tcPr>
            <w:tcW w:type="dxa" w:w="2592"/>
            <w:vAlign w:val="center"/>
          </w:tcPr>
          <w:p>
            <w:pPr>
              <w:spacing w:after="40"/>
            </w:pPr>
            <w:r>
              <w:rPr>
                <w:rFonts w:ascii="Calibri" w:hAnsi="Calibri"/>
                <w:color w:val="1B2A4A"/>
                <w:sz w:val="20"/>
              </w:rPr>
              <w:t>Virtual network</w:t>
            </w:r>
          </w:p>
        </w:tc>
        <w:tc>
          <w:tcPr>
            <w:tcW w:type="dxa" w:w="1008"/>
            <w:vAlign w:val="center"/>
          </w:tcPr>
          <w:p>
            <w:pPr>
              <w:spacing w:after="40"/>
            </w:pPr>
            <w:r>
              <w:rPr>
                <w:rFonts w:ascii="Calibri" w:hAnsi="Calibri"/>
                <w:color w:val="1B2A4A"/>
                <w:sz w:val="20"/>
              </w:rPr>
              <w:t>1</w:t>
            </w:r>
          </w:p>
        </w:tc>
        <w:tc>
          <w:tcPr>
            <w:tcW w:type="dxa" w:w="5328"/>
            <w:vAlign w:val="center"/>
          </w:tcPr>
          <w:p>
            <w:pPr>
              <w:spacing w:after="40"/>
            </w:pPr>
            <w:r>
              <w:rPr>
                <w:rFonts w:ascii="Calibri" w:hAnsi="Calibri"/>
                <w:color w:val="1B2A4A"/>
                <w:sz w:val="20"/>
              </w:rPr>
              <w:t>cloudlens-stack-vnet 10.50.0.0/16</w:t>
            </w:r>
          </w:p>
        </w:tc>
      </w:tr>
      <w:tr>
        <w:tc>
          <w:tcPr>
            <w:tcW w:type="dxa" w:w="2592"/>
            <w:vAlign w:val="center"/>
            <w:shd w:val="clear" w:color="auto" w:fill="F4F8FB"/>
          </w:tcPr>
          <w:p>
            <w:pPr>
              <w:spacing w:after="40"/>
            </w:pPr>
            <w:r>
              <w:rPr>
                <w:rFonts w:ascii="Calibri" w:hAnsi="Calibri"/>
                <w:color w:val="1B2A4A"/>
                <w:sz w:val="20"/>
              </w:rPr>
              <w:t>Subnets</w:t>
            </w:r>
          </w:p>
        </w:tc>
        <w:tc>
          <w:tcPr>
            <w:tcW w:type="dxa" w:w="1008"/>
            <w:vAlign w:val="center"/>
            <w:shd w:val="clear" w:color="auto" w:fill="F4F8FB"/>
          </w:tcPr>
          <w:p>
            <w:pPr>
              <w:spacing w:after="40"/>
            </w:pPr>
            <w:r>
              <w:rPr>
                <w:rFonts w:ascii="Calibri" w:hAnsi="Calibri"/>
                <w:color w:val="1B2A4A"/>
                <w:sz w:val="20"/>
              </w:rPr>
              <w:t>4</w:t>
            </w:r>
          </w:p>
        </w:tc>
        <w:tc>
          <w:tcPr>
            <w:tcW w:type="dxa" w:w="5328"/>
            <w:vAlign w:val="center"/>
            <w:shd w:val="clear" w:color="auto" w:fill="F4F8FB"/>
          </w:tcPr>
          <w:p>
            <w:pPr>
              <w:spacing w:after="40"/>
            </w:pPr>
            <w:r>
              <w:rPr>
                <w:rFonts w:ascii="Calibri" w:hAnsi="Calibri"/>
                <w:color w:val="1B2A4A"/>
                <w:sz w:val="20"/>
              </w:rPr>
              <w:t>clms-subnet, vpb-mgmt, vpb-ingress, vpb-egress</w:t>
            </w:r>
          </w:p>
        </w:tc>
      </w:tr>
      <w:tr>
        <w:tc>
          <w:tcPr>
            <w:tcW w:type="dxa" w:w="2592"/>
            <w:vAlign w:val="center"/>
          </w:tcPr>
          <w:p>
            <w:pPr>
              <w:spacing w:after="40"/>
            </w:pPr>
            <w:r>
              <w:rPr>
                <w:rFonts w:ascii="Calibri" w:hAnsi="Calibri"/>
                <w:color w:val="1B2A4A"/>
                <w:sz w:val="20"/>
              </w:rPr>
              <w:t>Public IPs</w:t>
            </w:r>
          </w:p>
        </w:tc>
        <w:tc>
          <w:tcPr>
            <w:tcW w:type="dxa" w:w="1008"/>
            <w:vAlign w:val="center"/>
          </w:tcPr>
          <w:p>
            <w:pPr>
              <w:spacing w:after="40"/>
            </w:pPr>
            <w:r>
              <w:rPr>
                <w:rFonts w:ascii="Calibri" w:hAnsi="Calibri"/>
                <w:color w:val="1B2A4A"/>
                <w:sz w:val="20"/>
              </w:rPr>
              <w:t>2</w:t>
            </w:r>
          </w:p>
        </w:tc>
        <w:tc>
          <w:tcPr>
            <w:tcW w:type="dxa" w:w="5328"/>
            <w:vAlign w:val="center"/>
          </w:tcPr>
          <w:p>
            <w:pPr>
              <w:spacing w:after="40"/>
            </w:pPr>
            <w:r>
              <w:rPr>
                <w:rFonts w:ascii="Calibri" w:hAnsi="Calibri"/>
                <w:color w:val="1B2A4A"/>
                <w:sz w:val="20"/>
              </w:rPr>
              <w:t>One for CLMS, one for vPB management</w:t>
            </w:r>
          </w:p>
        </w:tc>
      </w:tr>
      <w:tr>
        <w:tc>
          <w:tcPr>
            <w:tcW w:type="dxa" w:w="2592"/>
            <w:vAlign w:val="center"/>
            <w:shd w:val="clear" w:color="auto" w:fill="F4F8FB"/>
          </w:tcPr>
          <w:p>
            <w:pPr>
              <w:spacing w:after="40"/>
            </w:pPr>
            <w:r>
              <w:rPr>
                <w:rFonts w:ascii="Calibri" w:hAnsi="Calibri"/>
                <w:color w:val="1B2A4A"/>
                <w:sz w:val="20"/>
              </w:rPr>
              <w:t>NSGs</w:t>
            </w:r>
          </w:p>
        </w:tc>
        <w:tc>
          <w:tcPr>
            <w:tcW w:type="dxa" w:w="1008"/>
            <w:vAlign w:val="center"/>
            <w:shd w:val="clear" w:color="auto" w:fill="F4F8FB"/>
          </w:tcPr>
          <w:p>
            <w:pPr>
              <w:spacing w:after="40"/>
            </w:pPr>
            <w:r>
              <w:rPr>
                <w:rFonts w:ascii="Calibri" w:hAnsi="Calibri"/>
                <w:color w:val="1B2A4A"/>
                <w:sz w:val="20"/>
              </w:rPr>
              <w:t>2</w:t>
            </w:r>
          </w:p>
        </w:tc>
        <w:tc>
          <w:tcPr>
            <w:tcW w:type="dxa" w:w="5328"/>
            <w:vAlign w:val="center"/>
            <w:shd w:val="clear" w:color="auto" w:fill="F4F8FB"/>
          </w:tcPr>
          <w:p>
            <w:pPr>
              <w:spacing w:after="40"/>
            </w:pPr>
            <w:r>
              <w:rPr>
                <w:rFonts w:ascii="Calibri" w:hAnsi="Calibri"/>
                <w:color w:val="1B2A4A"/>
                <w:sz w:val="20"/>
              </w:rPr>
              <w:t>Pre-configured rules per VM role</w:t>
            </w:r>
          </w:p>
        </w:tc>
      </w:tr>
      <w:tr>
        <w:tc>
          <w:tcPr>
            <w:tcW w:type="dxa" w:w="2592"/>
            <w:vAlign w:val="center"/>
          </w:tcPr>
          <w:p>
            <w:pPr>
              <w:spacing w:after="40"/>
            </w:pPr>
            <w:r>
              <w:rPr>
                <w:rFonts w:ascii="Calibri" w:hAnsi="Calibri"/>
                <w:color w:val="1B2A4A"/>
                <w:sz w:val="20"/>
              </w:rPr>
              <w:t>NICs</w:t>
            </w:r>
          </w:p>
        </w:tc>
        <w:tc>
          <w:tcPr>
            <w:tcW w:type="dxa" w:w="1008"/>
            <w:vAlign w:val="center"/>
          </w:tcPr>
          <w:p>
            <w:pPr>
              <w:spacing w:after="40"/>
            </w:pPr>
            <w:r>
              <w:rPr>
                <w:rFonts w:ascii="Calibri" w:hAnsi="Calibri"/>
                <w:color w:val="1B2A4A"/>
                <w:sz w:val="20"/>
              </w:rPr>
              <w:t>4</w:t>
            </w:r>
          </w:p>
        </w:tc>
        <w:tc>
          <w:tcPr>
            <w:tcW w:type="dxa" w:w="5328"/>
            <w:vAlign w:val="center"/>
          </w:tcPr>
          <w:p>
            <w:pPr>
              <w:spacing w:after="40"/>
            </w:pPr>
            <w:r>
              <w:rPr>
                <w:rFonts w:ascii="Calibri" w:hAnsi="Calibri"/>
                <w:color w:val="1B2A4A"/>
                <w:sz w:val="20"/>
              </w:rPr>
              <w:t>1 for CLMS, 3 for vPB</w:t>
            </w:r>
          </w:p>
        </w:tc>
      </w:tr>
      <w:tr>
        <w:tc>
          <w:tcPr>
            <w:tcW w:type="dxa" w:w="2592"/>
            <w:vAlign w:val="center"/>
            <w:shd w:val="clear" w:color="auto" w:fill="F4F8FB"/>
          </w:tcPr>
          <w:p>
            <w:pPr>
              <w:spacing w:after="40"/>
            </w:pPr>
            <w:r>
              <w:rPr>
                <w:rFonts w:ascii="Calibri" w:hAnsi="Calibri"/>
                <w:color w:val="1B2A4A"/>
                <w:sz w:val="20"/>
              </w:rPr>
              <w:t>VMs</w:t>
            </w:r>
          </w:p>
        </w:tc>
        <w:tc>
          <w:tcPr>
            <w:tcW w:type="dxa" w:w="1008"/>
            <w:vAlign w:val="center"/>
            <w:shd w:val="clear" w:color="auto" w:fill="F4F8FB"/>
          </w:tcPr>
          <w:p>
            <w:pPr>
              <w:spacing w:after="40"/>
            </w:pPr>
            <w:r>
              <w:rPr>
                <w:rFonts w:ascii="Calibri" w:hAnsi="Calibri"/>
                <w:color w:val="1B2A4A"/>
                <w:sz w:val="20"/>
              </w:rPr>
              <w:t>2</w:t>
            </w:r>
          </w:p>
        </w:tc>
        <w:tc>
          <w:tcPr>
            <w:tcW w:type="dxa" w:w="5328"/>
            <w:vAlign w:val="center"/>
            <w:shd w:val="clear" w:color="auto" w:fill="F4F8FB"/>
          </w:tcPr>
          <w:p>
            <w:pPr>
              <w:spacing w:after="40"/>
            </w:pPr>
            <w:r>
              <w:rPr>
                <w:rFonts w:ascii="Calibri" w:hAnsi="Calibri"/>
                <w:color w:val="1B2A4A"/>
                <w:sz w:val="20"/>
              </w:rPr>
              <w:t>CLMS D4s_v5, vPB D8s_v3</w:t>
            </w:r>
          </w:p>
        </w:tc>
      </w:tr>
    </w:tbl>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6" w:space="0" w:color="0078D4"/>
              <w:left w:val="single" w:sz="6" w:space="0" w:color="0078D4"/>
              <w:bottom w:val="single" w:sz="6" w:space="0" w:color="0078D4"/>
              <w:right w:val="single" w:sz="6" w:space="0" w:color="0078D4"/>
            </w:tcBorders>
          </w:tcPr>
          <w:p>
            <w:pPr>
              <w:spacing w:after="40"/>
            </w:pPr>
            <w:r>
              <w:rPr>
                <w:rFonts w:ascii="Calibri" w:hAnsi="Calibri"/>
                <w:b/>
                <w:color w:val="005A9E"/>
                <w:sz w:val="21"/>
              </w:rPr>
              <w:t>Existing VNet?</w:t>
            </w:r>
          </w:p>
          <w:p>
            <w:r>
              <w:rPr>
                <w:rFonts w:ascii="Calibri" w:hAnsi="Calibri"/>
                <w:color w:val="1B2A4A"/>
                <w:sz w:val="21"/>
              </w:rPr>
              <w:t>Set shared_vnet = false in terraform.tfvars. Each child module then creates its own VNet (CLMS gets a 1-subnet VNet, vPB gets a 3-subnet VNet). For full bring-your-own-VNet wiring, edit main.tf and pass existing_vnet_name through to the child modules.</w:t>
            </w:r>
          </w:p>
        </w:tc>
      </w:tr>
    </w:tbl>
    <w:p/>
    <w:p>
      <w:r>
        <w:br w:type="page"/>
      </w:r>
    </w:p>
    <w:p>
      <w:pPr>
        <w:pStyle w:val="Heading1"/>
      </w:pPr>
      <w:r>
        <w:t>6. Path C: Azure Portal</w:t>
      </w:r>
    </w:p>
    <w:p>
      <w:r>
        <w:rPr>
          <w:rFonts w:ascii="Calibri" w:hAnsi="Calibri"/>
          <w:b w:val="0"/>
          <w:i w:val="0"/>
          <w:sz w:val="22"/>
        </w:rPr>
        <w:t>If you prefer to deploy from the Portal, the same Marketplace images are also exposed via the two click-through buttons on the landing page at keysight-tech.github.io/cloudlens-ansible-azure. The Portal opens a Custom deployment blade that pulls a small wrapper ARM template directly from this repository.</w:t>
      </w:r>
    </w:p>
    <w:p>
      <w:r>
        <w:rPr>
          <w:rFonts w:ascii="Calibri" w:hAnsi="Calibri"/>
          <w:b w:val="0"/>
          <w:i w:val="0"/>
          <w:sz w:val="22"/>
        </w:rPr>
        <w:t>Click the Deploy CLMS button first. The blade prompts for resource group, region, VM name, admin username and admin password. The deployment takes about 8 to 10 minutes; the VM then needs a further 15 minutes to finish initialising before the UI is reachable.</w:t>
      </w:r>
    </w:p>
    <w:p>
      <w:r>
        <w:rPr>
          <w:rFonts w:ascii="Calibri" w:hAnsi="Calibri"/>
          <w:b w:val="0"/>
          <w:i w:val="0"/>
          <w:sz w:val="22"/>
        </w:rPr>
        <w:t>Once CLMS is up, click the Deploy vPB button. Same blade pattern, different image. Use the same resource group as CLMS so both VMs end up in one tidy place that you can delete cleanly later.</w:t>
      </w:r>
    </w:p>
    <w:p>
      <w:r>
        <w:rPr>
          <w:rFonts w:ascii="Calibri" w:hAnsi="Calibri"/>
          <w:b w:val="0"/>
          <w:i w:val="0"/>
          <w:sz w:val="22"/>
        </w:rPr>
        <w:t>Open the CLMS UI, create a project, copy the project key, and run quickstart.sh from a terminal (or Cloud Shell) to deploy sensors. The Portal does not yet have a click-through for sensors because they touch every tagged VM in the subscription; that is intentionally an explicit step.</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6" w:space="0" w:color="0078D4"/>
              <w:left w:val="single" w:sz="6" w:space="0" w:color="0078D4"/>
              <w:bottom w:val="single" w:sz="6" w:space="0" w:color="0078D4"/>
              <w:right w:val="single" w:sz="6" w:space="0" w:color="0078D4"/>
            </w:tcBorders>
          </w:tcPr>
          <w:p>
            <w:pPr>
              <w:spacing w:after="40"/>
            </w:pPr>
            <w:r>
              <w:rPr>
                <w:rFonts w:ascii="Calibri" w:hAnsi="Calibri"/>
                <w:b/>
                <w:color w:val="005A9E"/>
                <w:sz w:val="21"/>
              </w:rPr>
              <w:t>Marketplace listing names</w:t>
            </w:r>
          </w:p>
          <w:p>
            <w:r>
              <w:rPr>
                <w:rFonts w:ascii="Calibri" w:hAnsi="Calibri"/>
                <w:color w:val="1B2A4A"/>
                <w:sz w:val="21"/>
              </w:rPr>
              <w:t>In the Portal search, CLMS appears as 'CloudLens Manager (Preview)' and vPB appears as 'CloudLens Virtual Packet Broker'. The Deploy buttons on the site point at the correct offer IDs automatically, so you do not need to find them by hand.</w:t>
            </w:r>
          </w:p>
        </w:tc>
      </w:tr>
    </w:tbl>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6" w:space="0" w:color="0078D4"/>
              <w:left w:val="single" w:sz="6" w:space="0" w:color="0078D4"/>
              <w:bottom w:val="single" w:sz="6" w:space="0" w:color="0078D4"/>
              <w:right w:val="single" w:sz="6" w:space="0" w:color="0078D4"/>
            </w:tcBorders>
          </w:tcPr>
          <w:p>
            <w:pPr>
              <w:spacing w:after="40"/>
            </w:pPr>
            <w:r>
              <w:rPr>
                <w:rFonts w:ascii="Calibri" w:hAnsi="Calibri"/>
                <w:b/>
                <w:color w:val="005A9E"/>
                <w:sz w:val="21"/>
              </w:rPr>
              <w:t>No screenshots, by design</w:t>
            </w:r>
          </w:p>
          <w:p>
            <w:r>
              <w:rPr>
                <w:rFonts w:ascii="Calibri" w:hAnsi="Calibri"/>
                <w:color w:val="1B2A4A"/>
                <w:sz w:val="21"/>
              </w:rPr>
              <w:t>Azure Portal UI shifts every few months. Rather than ship stale screenshots, this guide describes the click path in words. The actual buttons and field names match the Portal at June 2026.</w:t>
            </w:r>
          </w:p>
        </w:tc>
      </w:tr>
    </w:tbl>
    <w:p/>
    <w:p>
      <w:r>
        <w:br w:type="page"/>
      </w:r>
    </w:p>
    <w:p>
      <w:pPr>
        <w:pStyle w:val="Heading1"/>
      </w:pPr>
      <w:r>
        <w:t>7. Verification Checklist</w:t>
      </w:r>
    </w:p>
    <w:p>
      <w:r>
        <w:rPr>
          <w:rFonts w:ascii="Calibri" w:hAnsi="Calibri"/>
          <w:b w:val="0"/>
          <w:i w:val="0"/>
          <w:sz w:val="22"/>
        </w:rPr>
        <w:t>Walk this list after every deploy. If any item fails, jump to section 8 for the matching troubleshooting entry.</w:t>
      </w:r>
    </w:p>
    <w:p>
      <w:pPr>
        <w:spacing w:after="80"/>
        <w:ind w:left="144"/>
      </w:pPr>
      <w:r>
        <w:rPr>
          <w:rFonts w:ascii="Segoe UI Symbol" w:hAnsi="Segoe UI Symbol"/>
          <w:color w:val="005A9E"/>
          <w:sz w:val="26"/>
        </w:rPr>
        <w:t xml:space="preserve">☐  </w:t>
      </w:r>
      <w:r>
        <w:rPr>
          <w:rFonts w:ascii="Calibri" w:hAnsi="Calibri"/>
          <w:color w:val="1B2A4A"/>
          <w:sz w:val="22"/>
        </w:rPr>
        <w:t>CLMS UI reachable on https://&lt;clms-public-ip&gt;/. The page loads with the Keysight CloudLens login screen, not a connection error.</w:t>
      </w:r>
    </w:p>
    <w:p>
      <w:pPr>
        <w:spacing w:after="80"/>
        <w:ind w:left="144"/>
      </w:pPr>
      <w:r>
        <w:rPr>
          <w:rFonts w:ascii="Segoe UI Symbol" w:hAnsi="Segoe UI Symbol"/>
          <w:color w:val="005A9E"/>
          <w:sz w:val="26"/>
        </w:rPr>
        <w:t xml:space="preserve">☐  </w:t>
      </w:r>
      <w:r>
        <w:rPr>
          <w:rFonts w:ascii="Calibri" w:hAnsi="Calibri"/>
          <w:color w:val="1B2A4A"/>
          <w:sz w:val="22"/>
        </w:rPr>
        <w:t>Logged in to CLMS with the default credentials (admin / Cl0udLens@dm!n). Default password reset prompt appears; set a strong password before going further.</w:t>
      </w:r>
    </w:p>
    <w:p>
      <w:pPr>
        <w:spacing w:after="80"/>
        <w:ind w:left="144"/>
      </w:pPr>
      <w:r>
        <w:rPr>
          <w:rFonts w:ascii="Segoe UI Symbol" w:hAnsi="Segoe UI Symbol"/>
          <w:color w:val="005A9E"/>
          <w:sz w:val="26"/>
        </w:rPr>
        <w:t xml:space="preserve">☐  </w:t>
      </w:r>
      <w:r>
        <w:rPr>
          <w:rFonts w:ascii="Calibri" w:hAnsi="Calibri"/>
          <w:color w:val="1B2A4A"/>
          <w:sz w:val="22"/>
        </w:rPr>
        <w:t>Project created in CLMS under Settings &gt; Projects, and the API key has been copied into a safe place.</w:t>
      </w:r>
    </w:p>
    <w:p>
      <w:pPr>
        <w:spacing w:after="80"/>
        <w:ind w:left="144"/>
      </w:pPr>
      <w:r>
        <w:rPr>
          <w:rFonts w:ascii="Segoe UI Symbol" w:hAnsi="Segoe UI Symbol"/>
          <w:color w:val="005A9E"/>
          <w:sz w:val="26"/>
        </w:rPr>
        <w:t xml:space="preserve">☐  </w:t>
      </w:r>
      <w:r>
        <w:rPr>
          <w:rFonts w:ascii="Calibri" w:hAnsi="Calibri"/>
          <w:color w:val="1B2A4A"/>
          <w:sz w:val="22"/>
        </w:rPr>
        <w:t>vPB SSH reachable on port 22 of the vPB management public IP after 10 to 15 minutes. Login as admin with the admin password set during deploy.</w:t>
      </w:r>
    </w:p>
    <w:p>
      <w:pPr>
        <w:spacing w:after="80"/>
        <w:ind w:left="144"/>
      </w:pPr>
      <w:r>
        <w:rPr>
          <w:rFonts w:ascii="Segoe UI Symbol" w:hAnsi="Segoe UI Symbol"/>
          <w:color w:val="005A9E"/>
          <w:sz w:val="26"/>
        </w:rPr>
        <w:t xml:space="preserve">☐  </w:t>
      </w:r>
      <w:r>
        <w:rPr>
          <w:rFonts w:ascii="Calibri" w:hAnsi="Calibri"/>
          <w:color w:val="1B2A4A"/>
          <w:sz w:val="22"/>
        </w:rPr>
        <w:t>vPB CLI prompts confirm 'CloudLens vPB Console' on first SSH; reach config mode with 'enable' then 'configure'.</w:t>
      </w:r>
    </w:p>
    <w:p>
      <w:pPr>
        <w:spacing w:after="80"/>
        <w:ind w:left="144"/>
      </w:pPr>
      <w:r>
        <w:rPr>
          <w:rFonts w:ascii="Segoe UI Symbol" w:hAnsi="Segoe UI Symbol"/>
          <w:color w:val="005A9E"/>
          <w:sz w:val="26"/>
        </w:rPr>
        <w:t xml:space="preserve">☐  </w:t>
      </w:r>
      <w:r>
        <w:rPr>
          <w:rFonts w:ascii="Calibri" w:hAnsi="Calibri"/>
          <w:color w:val="1B2A4A"/>
          <w:sz w:val="22"/>
        </w:rPr>
        <w:t>Sensors visible in CLMS under Sensors page within 8 minutes of running quickstart.sh. Each sensor shows its hostname and Connected status.</w:t>
      </w:r>
    </w:p>
    <w:p>
      <w:pPr>
        <w:spacing w:after="80"/>
        <w:ind w:left="144"/>
      </w:pPr>
      <w:r>
        <w:rPr>
          <w:rFonts w:ascii="Segoe UI Symbol" w:hAnsi="Segoe UI Symbol"/>
          <w:color w:val="005A9E"/>
          <w:sz w:val="26"/>
        </w:rPr>
        <w:t xml:space="preserve">☐  </w:t>
      </w:r>
      <w:r>
        <w:rPr>
          <w:rFonts w:ascii="Calibri" w:hAnsi="Calibri"/>
          <w:color w:val="1B2A4A"/>
          <w:sz w:val="22"/>
        </w:rPr>
        <w:t>Test traffic from a sensored VM appears at the destination tool or probe (CLMS Investigate page or your downstream collector).</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6" w:space="0" w:color="0078D4"/>
              <w:left w:val="single" w:sz="6" w:space="0" w:color="0078D4"/>
              <w:bottom w:val="single" w:sz="6" w:space="0" w:color="0078D4"/>
              <w:right w:val="single" w:sz="6" w:space="0" w:color="0078D4"/>
            </w:tcBorders>
          </w:tcPr>
          <w:p>
            <w:pPr>
              <w:spacing w:after="40"/>
            </w:pPr>
            <w:r>
              <w:rPr>
                <w:rFonts w:ascii="Calibri" w:hAnsi="Calibri"/>
                <w:b/>
                <w:color w:val="005A9E"/>
                <w:sz w:val="21"/>
              </w:rPr>
              <w:t>Printable</w:t>
            </w:r>
          </w:p>
          <w:p>
            <w:r>
              <w:rPr>
                <w:rFonts w:ascii="Calibri" w:hAnsi="Calibri"/>
                <w:color w:val="1B2A4A"/>
                <w:sz w:val="21"/>
              </w:rPr>
              <w:t>This page is intentionally a single checklist so it can be printed and ticked off during a customer handover or installation walkthrough.</w:t>
            </w:r>
          </w:p>
        </w:tc>
      </w:tr>
    </w:tbl>
    <w:p/>
    <w:p>
      <w:r>
        <w:br w:type="page"/>
      </w:r>
    </w:p>
    <w:p>
      <w:pPr>
        <w:pStyle w:val="Heading1"/>
      </w:pPr>
      <w:r>
        <w:t>8. Troubleshooting Reference</w:t>
      </w:r>
    </w:p>
    <w:p>
      <w:r>
        <w:rPr>
          <w:rFonts w:ascii="Calibri" w:hAnsi="Calibri"/>
          <w:b w:val="0"/>
          <w:i w:val="0"/>
          <w:sz w:val="22"/>
        </w:rPr>
        <w:t>Organised by failure mode. The full reference (every error message we have seen in the field, plus the fix) lives at docs/TROUBLESHOOTING.md in the repository.</w:t>
      </w:r>
    </w:p>
    <w:p>
      <w:pPr>
        <w:pStyle w:val="Heading3"/>
      </w:pPr>
      <w:r>
        <w:t>Marketplace terms</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0078D4"/>
            <w:vAlign w:val="center"/>
          </w:tcPr>
          <w:p>
            <w:pPr>
              <w:spacing w:after="40"/>
              <w:jc w:val="left"/>
            </w:pPr>
            <w:r>
              <w:rPr>
                <w:rFonts w:ascii="Calibri" w:hAnsi="Calibri"/>
                <w:b/>
                <w:color w:val="FFFFFF"/>
                <w:sz w:val="21"/>
              </w:rPr>
              <w:t>Symptom</w:t>
            </w:r>
          </w:p>
        </w:tc>
        <w:tc>
          <w:tcPr>
            <w:tcW w:type="dxa" w:w="2880"/>
            <w:shd w:val="clear" w:color="auto" w:fill="0078D4"/>
            <w:vAlign w:val="center"/>
          </w:tcPr>
          <w:p>
            <w:pPr>
              <w:spacing w:after="40"/>
              <w:jc w:val="left"/>
            </w:pPr>
            <w:r>
              <w:rPr>
                <w:rFonts w:ascii="Calibri" w:hAnsi="Calibri"/>
                <w:b/>
                <w:color w:val="FFFFFF"/>
                <w:sz w:val="21"/>
              </w:rPr>
              <w:t>Likely cause</w:t>
            </w:r>
          </w:p>
        </w:tc>
        <w:tc>
          <w:tcPr>
            <w:tcW w:type="dxa" w:w="4320"/>
            <w:shd w:val="clear" w:color="auto" w:fill="0078D4"/>
            <w:vAlign w:val="center"/>
          </w:tcPr>
          <w:p>
            <w:pPr>
              <w:spacing w:after="40"/>
              <w:jc w:val="left"/>
            </w:pPr>
            <w:r>
              <w:rPr>
                <w:rFonts w:ascii="Calibri" w:hAnsi="Calibri"/>
                <w:b/>
                <w:color w:val="FFFFFF"/>
                <w:sz w:val="21"/>
              </w:rPr>
              <w:t>Fix</w:t>
            </w:r>
          </w:p>
        </w:tc>
      </w:tr>
      <w:tr>
        <w:tc>
          <w:tcPr>
            <w:tcW w:type="dxa" w:w="2880"/>
            <w:vAlign w:val="center"/>
            <w:shd w:val="clear" w:color="auto" w:fill="F4F8FB"/>
          </w:tcPr>
          <w:p>
            <w:pPr>
              <w:spacing w:after="40"/>
            </w:pPr>
            <w:r>
              <w:rPr>
                <w:rFonts w:ascii="Calibri" w:hAnsi="Calibri"/>
                <w:color w:val="1B2A4A"/>
                <w:sz w:val="20"/>
              </w:rPr>
              <w:t>MarketplacePurchaseEligibilityFailed during deploy</w:t>
            </w:r>
          </w:p>
        </w:tc>
        <w:tc>
          <w:tcPr>
            <w:tcW w:type="dxa" w:w="2880"/>
            <w:vAlign w:val="center"/>
            <w:shd w:val="clear" w:color="auto" w:fill="F4F8FB"/>
          </w:tcPr>
          <w:p>
            <w:pPr>
              <w:spacing w:after="40"/>
            </w:pPr>
            <w:r>
              <w:rPr>
                <w:rFonts w:ascii="Calibri" w:hAnsi="Calibri"/>
                <w:color w:val="1B2A4A"/>
                <w:sz w:val="20"/>
              </w:rPr>
              <w:t>Marketplace terms not accepted for the publisher / offer</w:t>
            </w:r>
          </w:p>
        </w:tc>
        <w:tc>
          <w:tcPr>
            <w:tcW w:type="dxa" w:w="4320"/>
            <w:vAlign w:val="center"/>
            <w:shd w:val="clear" w:color="auto" w:fill="F4F8FB"/>
          </w:tcPr>
          <w:p>
            <w:pPr>
              <w:spacing w:after="40"/>
            </w:pPr>
            <w:r>
              <w:rPr>
                <w:rFonts w:ascii="Calibri" w:hAnsi="Calibri"/>
                <w:color w:val="1B2A4A"/>
                <w:sz w:val="20"/>
              </w:rPr>
              <w:t>az vm image terms accept --publisher keysight-technologies-cloudlens --offer &lt;offer&gt; --plan &lt;plan&gt;</w:t>
            </w:r>
          </w:p>
        </w:tc>
      </w:tr>
      <w:tr>
        <w:tc>
          <w:tcPr>
            <w:tcW w:type="dxa" w:w="2880"/>
            <w:vAlign w:val="center"/>
          </w:tcPr>
          <w:p>
            <w:pPr>
              <w:spacing w:after="40"/>
            </w:pPr>
            <w:r>
              <w:rPr>
                <w:rFonts w:ascii="Calibri" w:hAnsi="Calibri"/>
                <w:color w:val="1B2A4A"/>
                <w:sz w:val="20"/>
              </w:rPr>
              <w:t>Deploy succeeds but VM never starts</w:t>
            </w:r>
          </w:p>
        </w:tc>
        <w:tc>
          <w:tcPr>
            <w:tcW w:type="dxa" w:w="2880"/>
            <w:vAlign w:val="center"/>
          </w:tcPr>
          <w:p>
            <w:pPr>
              <w:spacing w:after="40"/>
            </w:pPr>
            <w:r>
              <w:rPr>
                <w:rFonts w:ascii="Calibri" w:hAnsi="Calibri"/>
                <w:color w:val="1B2A4A"/>
                <w:sz w:val="20"/>
              </w:rPr>
              <w:t>Plan name typo (case-sensitive)</w:t>
            </w:r>
          </w:p>
        </w:tc>
        <w:tc>
          <w:tcPr>
            <w:tcW w:type="dxa" w:w="4320"/>
            <w:vAlign w:val="center"/>
          </w:tcPr>
          <w:p>
            <w:pPr>
              <w:spacing w:after="40"/>
            </w:pPr>
            <w:r>
              <w:rPr>
                <w:rFonts w:ascii="Calibri" w:hAnsi="Calibri"/>
                <w:color w:val="1B2A4A"/>
                <w:sz w:val="20"/>
              </w:rPr>
              <w:t>Use exact plan ids: clms-6-13-0_76 and cloudlens-virtual-packet-broker-3-15-0_1</w:t>
            </w:r>
          </w:p>
        </w:tc>
      </w:tr>
    </w:tbl>
    <w:p/>
    <w:p>
      <w:pPr>
        <w:pStyle w:val="Heading3"/>
      </w:pPr>
      <w:r>
        <w:t>Quota</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0078D4"/>
            <w:vAlign w:val="center"/>
          </w:tcPr>
          <w:p>
            <w:pPr>
              <w:spacing w:after="40"/>
              <w:jc w:val="left"/>
            </w:pPr>
            <w:r>
              <w:rPr>
                <w:rFonts w:ascii="Calibri" w:hAnsi="Calibri"/>
                <w:b/>
                <w:color w:val="FFFFFF"/>
                <w:sz w:val="21"/>
              </w:rPr>
              <w:t>Symptom</w:t>
            </w:r>
          </w:p>
        </w:tc>
        <w:tc>
          <w:tcPr>
            <w:tcW w:type="dxa" w:w="2880"/>
            <w:shd w:val="clear" w:color="auto" w:fill="0078D4"/>
            <w:vAlign w:val="center"/>
          </w:tcPr>
          <w:p>
            <w:pPr>
              <w:spacing w:after="40"/>
              <w:jc w:val="left"/>
            </w:pPr>
            <w:r>
              <w:rPr>
                <w:rFonts w:ascii="Calibri" w:hAnsi="Calibri"/>
                <w:b/>
                <w:color w:val="FFFFFF"/>
                <w:sz w:val="21"/>
              </w:rPr>
              <w:t>Likely cause</w:t>
            </w:r>
          </w:p>
        </w:tc>
        <w:tc>
          <w:tcPr>
            <w:tcW w:type="dxa" w:w="4320"/>
            <w:shd w:val="clear" w:color="auto" w:fill="0078D4"/>
            <w:vAlign w:val="center"/>
          </w:tcPr>
          <w:p>
            <w:pPr>
              <w:spacing w:after="40"/>
              <w:jc w:val="left"/>
            </w:pPr>
            <w:r>
              <w:rPr>
                <w:rFonts w:ascii="Calibri" w:hAnsi="Calibri"/>
                <w:b/>
                <w:color w:val="FFFFFF"/>
                <w:sz w:val="21"/>
              </w:rPr>
              <w:t>Fix</w:t>
            </w:r>
          </w:p>
        </w:tc>
      </w:tr>
      <w:tr>
        <w:tc>
          <w:tcPr>
            <w:tcW w:type="dxa" w:w="2880"/>
            <w:vAlign w:val="center"/>
            <w:shd w:val="clear" w:color="auto" w:fill="F4F8FB"/>
          </w:tcPr>
          <w:p>
            <w:pPr>
              <w:spacing w:after="40"/>
            </w:pPr>
            <w:r>
              <w:rPr>
                <w:rFonts w:ascii="Calibri" w:hAnsi="Calibri"/>
                <w:color w:val="1B2A4A"/>
                <w:sz w:val="20"/>
              </w:rPr>
              <w:t>QuotaExceeded on DSv5 family</w:t>
            </w:r>
          </w:p>
        </w:tc>
        <w:tc>
          <w:tcPr>
            <w:tcW w:type="dxa" w:w="2880"/>
            <w:vAlign w:val="center"/>
            <w:shd w:val="clear" w:color="auto" w:fill="F4F8FB"/>
          </w:tcPr>
          <w:p>
            <w:pPr>
              <w:spacing w:after="40"/>
            </w:pPr>
            <w:r>
              <w:rPr>
                <w:rFonts w:ascii="Calibri" w:hAnsi="Calibri"/>
                <w:color w:val="1B2A4A"/>
                <w:sz w:val="20"/>
              </w:rPr>
              <w:t>Subscription default quota is too low</w:t>
            </w:r>
          </w:p>
        </w:tc>
        <w:tc>
          <w:tcPr>
            <w:tcW w:type="dxa" w:w="4320"/>
            <w:vAlign w:val="center"/>
            <w:shd w:val="clear" w:color="auto" w:fill="F4F8FB"/>
          </w:tcPr>
          <w:p>
            <w:pPr>
              <w:spacing w:after="40"/>
            </w:pPr>
            <w:r>
              <w:rPr>
                <w:rFonts w:ascii="Calibri" w:hAnsi="Calibri"/>
                <w:color w:val="1B2A4A"/>
                <w:sz w:val="20"/>
              </w:rPr>
              <w:t>Request quota increase in the Portal: Subscriptions &gt; Usage + quotas; or pick a region with headroom</w:t>
            </w:r>
          </w:p>
        </w:tc>
      </w:tr>
      <w:tr>
        <w:tc>
          <w:tcPr>
            <w:tcW w:type="dxa" w:w="2880"/>
            <w:vAlign w:val="center"/>
          </w:tcPr>
          <w:p>
            <w:pPr>
              <w:spacing w:after="40"/>
            </w:pPr>
            <w:r>
              <w:rPr>
                <w:rFonts w:ascii="Calibri" w:hAnsi="Calibri"/>
                <w:color w:val="1B2A4A"/>
                <w:sz w:val="20"/>
              </w:rPr>
              <w:t>Quota probe warns but deploy continues</w:t>
            </w:r>
          </w:p>
        </w:tc>
        <w:tc>
          <w:tcPr>
            <w:tcW w:type="dxa" w:w="2880"/>
            <w:vAlign w:val="center"/>
          </w:tcPr>
          <w:p>
            <w:pPr>
              <w:spacing w:after="40"/>
            </w:pPr>
            <w:r>
              <w:rPr>
                <w:rFonts w:ascii="Calibri" w:hAnsi="Calibri"/>
                <w:color w:val="1B2A4A"/>
                <w:sz w:val="20"/>
              </w:rPr>
              <w:t>Quota is tight but enough for one VM</w:t>
            </w:r>
          </w:p>
        </w:tc>
        <w:tc>
          <w:tcPr>
            <w:tcW w:type="dxa" w:w="4320"/>
            <w:vAlign w:val="center"/>
          </w:tcPr>
          <w:p>
            <w:pPr>
              <w:spacing w:after="40"/>
            </w:pPr>
            <w:r>
              <w:rPr>
                <w:rFonts w:ascii="Calibri" w:hAnsi="Calibri"/>
                <w:color w:val="1B2A4A"/>
                <w:sz w:val="20"/>
              </w:rPr>
              <w:t>Safe to ignore; the script does not block on quota warnings</w:t>
            </w:r>
          </w:p>
        </w:tc>
      </w:tr>
    </w:tbl>
    <w:p/>
    <w:p>
      <w:pPr>
        <w:pStyle w:val="Heading3"/>
      </w:pPr>
      <w:r>
        <w:t>Network</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0078D4"/>
            <w:vAlign w:val="center"/>
          </w:tcPr>
          <w:p>
            <w:pPr>
              <w:spacing w:after="40"/>
              <w:jc w:val="left"/>
            </w:pPr>
            <w:r>
              <w:rPr>
                <w:rFonts w:ascii="Calibri" w:hAnsi="Calibri"/>
                <w:b/>
                <w:color w:val="FFFFFF"/>
                <w:sz w:val="21"/>
              </w:rPr>
              <w:t>Symptom</w:t>
            </w:r>
          </w:p>
        </w:tc>
        <w:tc>
          <w:tcPr>
            <w:tcW w:type="dxa" w:w="2880"/>
            <w:shd w:val="clear" w:color="auto" w:fill="0078D4"/>
            <w:vAlign w:val="center"/>
          </w:tcPr>
          <w:p>
            <w:pPr>
              <w:spacing w:after="40"/>
              <w:jc w:val="left"/>
            </w:pPr>
            <w:r>
              <w:rPr>
                <w:rFonts w:ascii="Calibri" w:hAnsi="Calibri"/>
                <w:b/>
                <w:color w:val="FFFFFF"/>
                <w:sz w:val="21"/>
              </w:rPr>
              <w:t>Likely cause</w:t>
            </w:r>
          </w:p>
        </w:tc>
        <w:tc>
          <w:tcPr>
            <w:tcW w:type="dxa" w:w="4320"/>
            <w:shd w:val="clear" w:color="auto" w:fill="0078D4"/>
            <w:vAlign w:val="center"/>
          </w:tcPr>
          <w:p>
            <w:pPr>
              <w:spacing w:after="40"/>
              <w:jc w:val="left"/>
            </w:pPr>
            <w:r>
              <w:rPr>
                <w:rFonts w:ascii="Calibri" w:hAnsi="Calibri"/>
                <w:b/>
                <w:color w:val="FFFFFF"/>
                <w:sz w:val="21"/>
              </w:rPr>
              <w:t>Fix</w:t>
            </w:r>
          </w:p>
        </w:tc>
      </w:tr>
      <w:tr>
        <w:tc>
          <w:tcPr>
            <w:tcW w:type="dxa" w:w="2880"/>
            <w:vAlign w:val="center"/>
            <w:shd w:val="clear" w:color="auto" w:fill="F4F8FB"/>
          </w:tcPr>
          <w:p>
            <w:pPr>
              <w:spacing w:after="40"/>
            </w:pPr>
            <w:r>
              <w:rPr>
                <w:rFonts w:ascii="Calibri" w:hAnsi="Calibri"/>
                <w:color w:val="1B2A4A"/>
                <w:sz w:val="20"/>
              </w:rPr>
              <w:t>CLMS UI not reachable after 20 minutes</w:t>
            </w:r>
          </w:p>
        </w:tc>
        <w:tc>
          <w:tcPr>
            <w:tcW w:type="dxa" w:w="2880"/>
            <w:vAlign w:val="center"/>
            <w:shd w:val="clear" w:color="auto" w:fill="F4F8FB"/>
          </w:tcPr>
          <w:p>
            <w:pPr>
              <w:spacing w:after="40"/>
            </w:pPr>
            <w:r>
              <w:rPr>
                <w:rFonts w:ascii="Calibri" w:hAnsi="Calibri"/>
                <w:color w:val="1B2A4A"/>
                <w:sz w:val="20"/>
              </w:rPr>
              <w:t>NSG blocks port 443 from your client IP</w:t>
            </w:r>
          </w:p>
        </w:tc>
        <w:tc>
          <w:tcPr>
            <w:tcW w:type="dxa" w:w="4320"/>
            <w:vAlign w:val="center"/>
            <w:shd w:val="clear" w:color="auto" w:fill="F4F8FB"/>
          </w:tcPr>
          <w:p>
            <w:pPr>
              <w:spacing w:after="40"/>
            </w:pPr>
            <w:r>
              <w:rPr>
                <w:rFonts w:ascii="Calibri" w:hAnsi="Calibri"/>
                <w:color w:val="1B2A4A"/>
                <w:sz w:val="20"/>
              </w:rPr>
              <w:t>az network nsg rule create to allow your IP, or use Bastion</w:t>
            </w:r>
          </w:p>
        </w:tc>
      </w:tr>
      <w:tr>
        <w:tc>
          <w:tcPr>
            <w:tcW w:type="dxa" w:w="2880"/>
            <w:vAlign w:val="center"/>
          </w:tcPr>
          <w:p>
            <w:pPr>
              <w:spacing w:after="40"/>
            </w:pPr>
            <w:r>
              <w:rPr>
                <w:rFonts w:ascii="Calibri" w:hAnsi="Calibri"/>
                <w:color w:val="1B2A4A"/>
                <w:sz w:val="20"/>
              </w:rPr>
              <w:t>vPB SSH times out</w:t>
            </w:r>
          </w:p>
        </w:tc>
        <w:tc>
          <w:tcPr>
            <w:tcW w:type="dxa" w:w="2880"/>
            <w:vAlign w:val="center"/>
          </w:tcPr>
          <w:p>
            <w:pPr>
              <w:spacing w:after="40"/>
            </w:pPr>
            <w:r>
              <w:rPr>
                <w:rFonts w:ascii="Calibri" w:hAnsi="Calibri"/>
                <w:color w:val="1B2A4A"/>
                <w:sz w:val="20"/>
              </w:rPr>
              <w:t>NSG blocks port 22 from your client IP</w:t>
            </w:r>
          </w:p>
        </w:tc>
        <w:tc>
          <w:tcPr>
            <w:tcW w:type="dxa" w:w="4320"/>
            <w:vAlign w:val="center"/>
          </w:tcPr>
          <w:p>
            <w:pPr>
              <w:spacing w:after="40"/>
            </w:pPr>
            <w:r>
              <w:rPr>
                <w:rFonts w:ascii="Calibri" w:hAnsi="Calibri"/>
                <w:color w:val="1B2A4A"/>
                <w:sz w:val="20"/>
              </w:rPr>
              <w:t>Add an NSG rule for your client IP on port 22</w:t>
            </w:r>
          </w:p>
        </w:tc>
      </w:tr>
      <w:tr>
        <w:tc>
          <w:tcPr>
            <w:tcW w:type="dxa" w:w="2880"/>
            <w:vAlign w:val="center"/>
            <w:shd w:val="clear" w:color="auto" w:fill="F4F8FB"/>
          </w:tcPr>
          <w:p>
            <w:pPr>
              <w:spacing w:after="40"/>
            </w:pPr>
            <w:r>
              <w:rPr>
                <w:rFonts w:ascii="Calibri" w:hAnsi="Calibri"/>
                <w:color w:val="1B2A4A"/>
                <w:sz w:val="20"/>
              </w:rPr>
              <w:t>Sensor cannot reach CLMS</w:t>
            </w:r>
          </w:p>
        </w:tc>
        <w:tc>
          <w:tcPr>
            <w:tcW w:type="dxa" w:w="2880"/>
            <w:vAlign w:val="center"/>
            <w:shd w:val="clear" w:color="auto" w:fill="F4F8FB"/>
          </w:tcPr>
          <w:p>
            <w:pPr>
              <w:spacing w:after="40"/>
            </w:pPr>
            <w:r>
              <w:rPr>
                <w:rFonts w:ascii="Calibri" w:hAnsi="Calibri"/>
                <w:color w:val="1B2A4A"/>
                <w:sz w:val="20"/>
              </w:rPr>
              <w:t>Egress blocked from VM subnet to CLMS public IP on 443</w:t>
            </w:r>
          </w:p>
        </w:tc>
        <w:tc>
          <w:tcPr>
            <w:tcW w:type="dxa" w:w="4320"/>
            <w:vAlign w:val="center"/>
            <w:shd w:val="clear" w:color="auto" w:fill="F4F8FB"/>
          </w:tcPr>
          <w:p>
            <w:pPr>
              <w:spacing w:after="40"/>
            </w:pPr>
            <w:r>
              <w:rPr>
                <w:rFonts w:ascii="Calibri" w:hAnsi="Calibri"/>
                <w:color w:val="1B2A4A"/>
                <w:sz w:val="20"/>
              </w:rPr>
              <w:t>Open egress on the workload subnet; or peer the VNets</w:t>
            </w:r>
          </w:p>
        </w:tc>
      </w:tr>
    </w:tbl>
    <w:p/>
    <w:p>
      <w:pPr>
        <w:pStyle w:val="Heading3"/>
      </w:pPr>
      <w:r>
        <w:t>Timing</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0078D4"/>
            <w:vAlign w:val="center"/>
          </w:tcPr>
          <w:p>
            <w:pPr>
              <w:spacing w:after="40"/>
              <w:jc w:val="left"/>
            </w:pPr>
            <w:r>
              <w:rPr>
                <w:rFonts w:ascii="Calibri" w:hAnsi="Calibri"/>
                <w:b/>
                <w:color w:val="FFFFFF"/>
                <w:sz w:val="21"/>
              </w:rPr>
              <w:t>Symptom</w:t>
            </w:r>
          </w:p>
        </w:tc>
        <w:tc>
          <w:tcPr>
            <w:tcW w:type="dxa" w:w="2880"/>
            <w:shd w:val="clear" w:color="auto" w:fill="0078D4"/>
            <w:vAlign w:val="center"/>
          </w:tcPr>
          <w:p>
            <w:pPr>
              <w:spacing w:after="40"/>
              <w:jc w:val="left"/>
            </w:pPr>
            <w:r>
              <w:rPr>
                <w:rFonts w:ascii="Calibri" w:hAnsi="Calibri"/>
                <w:b/>
                <w:color w:val="FFFFFF"/>
                <w:sz w:val="21"/>
              </w:rPr>
              <w:t>Likely cause</w:t>
            </w:r>
          </w:p>
        </w:tc>
        <w:tc>
          <w:tcPr>
            <w:tcW w:type="dxa" w:w="4320"/>
            <w:shd w:val="clear" w:color="auto" w:fill="0078D4"/>
            <w:vAlign w:val="center"/>
          </w:tcPr>
          <w:p>
            <w:pPr>
              <w:spacing w:after="40"/>
              <w:jc w:val="left"/>
            </w:pPr>
            <w:r>
              <w:rPr>
                <w:rFonts w:ascii="Calibri" w:hAnsi="Calibri"/>
                <w:b/>
                <w:color w:val="FFFFFF"/>
                <w:sz w:val="21"/>
              </w:rPr>
              <w:t>Fix</w:t>
            </w:r>
          </w:p>
        </w:tc>
      </w:tr>
      <w:tr>
        <w:tc>
          <w:tcPr>
            <w:tcW w:type="dxa" w:w="2880"/>
            <w:vAlign w:val="center"/>
            <w:shd w:val="clear" w:color="auto" w:fill="F4F8FB"/>
          </w:tcPr>
          <w:p>
            <w:pPr>
              <w:spacing w:after="40"/>
            </w:pPr>
            <w:r>
              <w:rPr>
                <w:rFonts w:ascii="Calibri" w:hAnsi="Calibri"/>
                <w:color w:val="1B2A4A"/>
                <w:sz w:val="20"/>
              </w:rPr>
              <w:t>CLMS UI returns 502 / 503 just after deploy</w:t>
            </w:r>
          </w:p>
        </w:tc>
        <w:tc>
          <w:tcPr>
            <w:tcW w:type="dxa" w:w="2880"/>
            <w:vAlign w:val="center"/>
            <w:shd w:val="clear" w:color="auto" w:fill="F4F8FB"/>
          </w:tcPr>
          <w:p>
            <w:pPr>
              <w:spacing w:after="40"/>
            </w:pPr>
            <w:r>
              <w:rPr>
                <w:rFonts w:ascii="Calibri" w:hAnsi="Calibri"/>
                <w:color w:val="1B2A4A"/>
                <w:sz w:val="20"/>
              </w:rPr>
              <w:t>CLMS is still initialising (services start in sequence)</w:t>
            </w:r>
          </w:p>
        </w:tc>
        <w:tc>
          <w:tcPr>
            <w:tcW w:type="dxa" w:w="4320"/>
            <w:vAlign w:val="center"/>
            <w:shd w:val="clear" w:color="auto" w:fill="F4F8FB"/>
          </w:tcPr>
          <w:p>
            <w:pPr>
              <w:spacing w:after="40"/>
            </w:pPr>
            <w:r>
              <w:rPr>
                <w:rFonts w:ascii="Calibri" w:hAnsi="Calibri"/>
                <w:color w:val="1B2A4A"/>
                <w:sz w:val="20"/>
              </w:rPr>
              <w:t>Wait the full 15 minutes; the script's poll loop handles this</w:t>
            </w:r>
          </w:p>
        </w:tc>
      </w:tr>
      <w:tr>
        <w:tc>
          <w:tcPr>
            <w:tcW w:type="dxa" w:w="2880"/>
            <w:vAlign w:val="center"/>
          </w:tcPr>
          <w:p>
            <w:pPr>
              <w:spacing w:after="40"/>
            </w:pPr>
            <w:r>
              <w:rPr>
                <w:rFonts w:ascii="Calibri" w:hAnsi="Calibri"/>
                <w:color w:val="1B2A4A"/>
                <w:sz w:val="20"/>
              </w:rPr>
              <w:t>vPB SSH connection refused immediately after deploy</w:t>
            </w:r>
          </w:p>
        </w:tc>
        <w:tc>
          <w:tcPr>
            <w:tcW w:type="dxa" w:w="2880"/>
            <w:vAlign w:val="center"/>
          </w:tcPr>
          <w:p>
            <w:pPr>
              <w:spacing w:after="40"/>
            </w:pPr>
            <w:r>
              <w:rPr>
                <w:rFonts w:ascii="Calibri" w:hAnsi="Calibri"/>
                <w:color w:val="1B2A4A"/>
                <w:sz w:val="20"/>
              </w:rPr>
              <w:t>vPB OS is still booting and applying first-run config</w:t>
            </w:r>
          </w:p>
        </w:tc>
        <w:tc>
          <w:tcPr>
            <w:tcW w:type="dxa" w:w="4320"/>
            <w:vAlign w:val="center"/>
          </w:tcPr>
          <w:p>
            <w:pPr>
              <w:spacing w:after="40"/>
            </w:pPr>
            <w:r>
              <w:rPr>
                <w:rFonts w:ascii="Calibri" w:hAnsi="Calibri"/>
                <w:color w:val="1B2A4A"/>
                <w:sz w:val="20"/>
              </w:rPr>
              <w:t>Wait 10 minutes; if still refused, restart the VM from the Portal</w:t>
            </w:r>
          </w:p>
        </w:tc>
      </w:tr>
    </w:tbl>
    <w:p/>
    <w:p>
      <w:r>
        <w:br w:type="page"/>
      </w:r>
    </w:p>
    <w:p>
      <w:pPr>
        <w:pStyle w:val="Heading1"/>
      </w:pPr>
      <w:r>
        <w:t>9. Cleanup / Decommission</w:t>
      </w:r>
    </w:p>
    <w:p>
      <w:r>
        <w:rPr>
          <w:rFonts w:ascii="Calibri" w:hAnsi="Calibri"/>
          <w:b w:val="0"/>
          <w:i w:val="0"/>
          <w:sz w:val="22"/>
        </w:rPr>
        <w:t>Two ways to undo a stack deploy. Pick the one that matches how you deployed it.</w:t>
      </w:r>
    </w:p>
    <w:p>
      <w:pPr>
        <w:pStyle w:val="Heading2"/>
      </w:pPr>
      <w:r>
        <w:t>Terraform deploy</w:t>
      </w:r>
    </w:p>
    <w:p>
      <w:r>
        <w:rPr>
          <w:rFonts w:ascii="Calibri" w:hAnsi="Calibri"/>
          <w:b w:val="0"/>
          <w:i w:val="0"/>
          <w:sz w:val="22"/>
        </w:rPr>
        <w:t>If you used Path B (Terraform), use terraform destroy. This removes exactly what Terraform created and leaves anything else in the resource group untouched.</w:t>
      </w:r>
    </w:p>
    <w:p>
      <w:pPr>
        <w:spacing w:before="80" w:after="160"/>
        <w:ind w:left="216"/>
        <w:shd w:val="clear" w:color="auto" w:fill="F2F2F2"/>
      </w:pPr>
      <w:r>
        <w:rPr>
          <w:rFonts w:ascii="Courier New" w:hAnsi="Courier New"/>
          <w:color w:val="1B2A4A"/>
          <w:sz w:val="19"/>
        </w:rPr>
        <w:t>cd deploy/terraform/stack</w:t>
        <w:br/>
        <w:t>terraform destroy</w:t>
      </w:r>
    </w:p>
    <w:p>
      <w:pPr>
        <w:pStyle w:val="Heading2"/>
      </w:pPr>
      <w:r>
        <w:t>Bash or Portal deploy</w:t>
      </w:r>
    </w:p>
    <w:p>
      <w:r>
        <w:rPr>
          <w:rFonts w:ascii="Calibri" w:hAnsi="Calibri"/>
          <w:b w:val="0"/>
          <w:i w:val="0"/>
          <w:sz w:val="22"/>
        </w:rPr>
        <w:t>If you used Path A or Path C, the simplest cleanup is to delete the whole resource group. This is irreversible; double-check the RG name before pressing enter.</w:t>
      </w:r>
    </w:p>
    <w:p>
      <w:pPr>
        <w:spacing w:before="80" w:after="160"/>
        <w:ind w:left="216"/>
        <w:shd w:val="clear" w:color="auto" w:fill="F2F2F2"/>
      </w:pPr>
      <w:r>
        <w:rPr>
          <w:rFonts w:ascii="Courier New" w:hAnsi="Courier New"/>
          <w:color w:val="1B2A4A"/>
          <w:sz w:val="19"/>
        </w:rPr>
        <w:t>az group delete --name cloudlens-rg --yes --no-wait</w:t>
      </w:r>
    </w:p>
    <w:p>
      <w:r>
        <w:rPr>
          <w:rFonts w:ascii="Calibri" w:hAnsi="Calibri"/>
          <w:b w:val="0"/>
          <w:i w:val="0"/>
          <w:sz w:val="22"/>
        </w:rPr>
        <w:t>The --no-wait flag returns immediately. The actual delete happens in the background and finishes in 1 to 3 minutes.</w:t>
      </w:r>
    </w:p>
    <w:p>
      <w:pPr>
        <w:pStyle w:val="Heading2"/>
      </w:pPr>
      <w:r>
        <w:t>Sensors on workload VMs</w:t>
      </w:r>
    </w:p>
    <w:p>
      <w:r>
        <w:rPr>
          <w:rFonts w:ascii="Calibri" w:hAnsi="Calibri"/>
          <w:b w:val="0"/>
          <w:i w:val="0"/>
          <w:sz w:val="22"/>
        </w:rPr>
        <w:t>Sensors are not destroyed by terraform destroy or az group delete, because they live on the customer's workload VMs (which are usually in a different resource group). To remove them:</w:t>
      </w:r>
    </w:p>
    <w:p>
      <w:pPr>
        <w:pStyle w:val="ListBullet"/>
      </w:pPr>
      <w:r>
        <w:rPr>
          <w:rFonts w:ascii="Calibri" w:hAnsi="Calibri"/>
          <w:color w:val="1B2A4A"/>
          <w:sz w:val="22"/>
        </w:rPr>
        <w:t>Linux: docker stop cloudlens-agent &amp;&amp; docker rm cloudlens-agent</w:t>
      </w:r>
    </w:p>
    <w:p>
      <w:pPr>
        <w:pStyle w:val="ListBullet"/>
      </w:pPr>
      <w:r>
        <w:rPr>
          <w:rFonts w:ascii="Calibri" w:hAnsi="Calibri"/>
          <w:color w:val="1B2A4A"/>
          <w:sz w:val="22"/>
        </w:rPr>
        <w:t>Windows: Stop-Service CloudLensAgent; sc.exe delete CloudLensAgent</w:t>
      </w:r>
    </w:p>
    <w:p>
      <w:pPr>
        <w:pStyle w:val="ListBullet"/>
      </w:pPr>
      <w:r>
        <w:rPr>
          <w:rFonts w:ascii="Calibri" w:hAnsi="Calibri"/>
          <w:color w:val="1B2A4A"/>
          <w:sz w:val="22"/>
        </w:rPr>
        <w:t>Or: untag the VMs (remove cloudlens=yes) and rerun the playbook with --tags remove</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6" w:space="0" w:color="0078D4"/>
              <w:left w:val="single" w:sz="6" w:space="0" w:color="0078D4"/>
              <w:bottom w:val="single" w:sz="6" w:space="0" w:color="0078D4"/>
              <w:right w:val="single" w:sz="6" w:space="0" w:color="0078D4"/>
            </w:tcBorders>
          </w:tcPr>
          <w:p>
            <w:pPr>
              <w:spacing w:after="40"/>
            </w:pPr>
            <w:r>
              <w:rPr>
                <w:rFonts w:ascii="Calibri" w:hAnsi="Calibri"/>
                <w:b/>
                <w:color w:val="005A9E"/>
                <w:sz w:val="21"/>
              </w:rPr>
              <w:t>Marketplace billing</w:t>
            </w:r>
          </w:p>
          <w:p>
            <w:r>
              <w:rPr>
                <w:rFonts w:ascii="Calibri" w:hAnsi="Calibri"/>
                <w:color w:val="1B2A4A"/>
                <w:sz w:val="21"/>
              </w:rPr>
              <w:t>Deleting the resource group also stops the Keysight Marketplace subscription billing for those VMs at the next hourly tick. Compute billing stops immediately. Allow up to 24 hours for the Marketplace billing line to disappear from your invoice.</w:t>
            </w:r>
          </w:p>
        </w:tc>
      </w:tr>
    </w:tbl>
    <w:p/>
    <w:p>
      <w:r>
        <w:br w:type="page"/>
      </w:r>
    </w:p>
    <w:p>
      <w:pPr>
        <w:pStyle w:val="Heading1"/>
      </w:pPr>
      <w:r>
        <w:t>10. Appendix: File Paths and Quick Links</w:t>
      </w:r>
    </w:p>
    <w:p>
      <w:pPr>
        <w:pStyle w:val="Heading2"/>
      </w:pPr>
      <w:r>
        <w:t>Repository file paths</w:t>
      </w:r>
    </w:p>
    <w:tbl>
      <w:tblPr>
        <w:tblStyle w:val="TableGrid"/>
        <w:tblW w:type="auto" w:w="0"/>
        <w:jc w:val="center"/>
        <w:tblLook w:firstColumn="1" w:firstRow="1" w:lastColumn="0" w:lastRow="0" w:noHBand="0" w:noVBand="1" w:val="04A0"/>
      </w:tblPr>
      <w:tblGrid>
        <w:gridCol w:w="4824"/>
        <w:gridCol w:w="4824"/>
      </w:tblGrid>
      <w:tr>
        <w:tc>
          <w:tcPr>
            <w:tcW w:type="dxa" w:w="4320"/>
            <w:shd w:val="clear" w:color="auto" w:fill="0078D4"/>
            <w:vAlign w:val="center"/>
          </w:tcPr>
          <w:p>
            <w:pPr>
              <w:spacing w:after="40"/>
              <w:jc w:val="left"/>
            </w:pPr>
            <w:r>
              <w:rPr>
                <w:rFonts w:ascii="Calibri" w:hAnsi="Calibri"/>
                <w:b/>
                <w:color w:val="FFFFFF"/>
                <w:sz w:val="21"/>
              </w:rPr>
              <w:t>File</w:t>
            </w:r>
          </w:p>
        </w:tc>
        <w:tc>
          <w:tcPr>
            <w:tcW w:type="dxa" w:w="5760"/>
            <w:shd w:val="clear" w:color="auto" w:fill="0078D4"/>
            <w:vAlign w:val="center"/>
          </w:tcPr>
          <w:p>
            <w:pPr>
              <w:spacing w:after="40"/>
              <w:jc w:val="left"/>
            </w:pPr>
            <w:r>
              <w:rPr>
                <w:rFonts w:ascii="Calibri" w:hAnsi="Calibri"/>
                <w:b/>
                <w:color w:val="FFFFFF"/>
                <w:sz w:val="21"/>
              </w:rPr>
              <w:t>Purpose</w:t>
            </w:r>
          </w:p>
        </w:tc>
      </w:tr>
      <w:tr>
        <w:tc>
          <w:tcPr>
            <w:tcW w:type="dxa" w:w="4320"/>
            <w:vAlign w:val="center"/>
            <w:shd w:val="clear" w:color="auto" w:fill="F4F8FB"/>
          </w:tcPr>
          <w:p>
            <w:pPr>
              <w:spacing w:after="40"/>
            </w:pPr>
            <w:r>
              <w:rPr>
                <w:rFonts w:ascii="Calibri" w:hAnsi="Calibri"/>
                <w:color w:val="1B2A4A"/>
                <w:sz w:val="20"/>
              </w:rPr>
              <w:t>deploy/deploy-stack.sh</w:t>
            </w:r>
          </w:p>
        </w:tc>
        <w:tc>
          <w:tcPr>
            <w:tcW w:type="dxa" w:w="5760"/>
            <w:vAlign w:val="center"/>
            <w:shd w:val="clear" w:color="auto" w:fill="F4F8FB"/>
          </w:tcPr>
          <w:p>
            <w:pPr>
              <w:spacing w:after="40"/>
            </w:pPr>
            <w:r>
              <w:rPr>
                <w:rFonts w:ascii="Calibri" w:hAnsi="Calibri"/>
                <w:color w:val="1B2A4A"/>
                <w:sz w:val="20"/>
              </w:rPr>
              <w:t>Path A entry point (Bash one-liner)</w:t>
            </w:r>
          </w:p>
        </w:tc>
      </w:tr>
      <w:tr>
        <w:tc>
          <w:tcPr>
            <w:tcW w:type="dxa" w:w="4320"/>
            <w:vAlign w:val="center"/>
          </w:tcPr>
          <w:p>
            <w:pPr>
              <w:spacing w:after="40"/>
            </w:pPr>
            <w:r>
              <w:rPr>
                <w:rFonts w:ascii="Calibri" w:hAnsi="Calibri"/>
                <w:color w:val="1B2A4A"/>
                <w:sz w:val="20"/>
              </w:rPr>
              <w:t>deploy/terraform/stack/</w:t>
            </w:r>
          </w:p>
        </w:tc>
        <w:tc>
          <w:tcPr>
            <w:tcW w:type="dxa" w:w="5760"/>
            <w:vAlign w:val="center"/>
          </w:tcPr>
          <w:p>
            <w:pPr>
              <w:spacing w:after="40"/>
            </w:pPr>
            <w:r>
              <w:rPr>
                <w:rFonts w:ascii="Calibri" w:hAnsi="Calibri"/>
                <w:color w:val="1B2A4A"/>
                <w:sz w:val="20"/>
              </w:rPr>
              <w:t>Path B entry point (Terraform module)</w:t>
            </w:r>
          </w:p>
        </w:tc>
      </w:tr>
      <w:tr>
        <w:tc>
          <w:tcPr>
            <w:tcW w:type="dxa" w:w="4320"/>
            <w:vAlign w:val="center"/>
            <w:shd w:val="clear" w:color="auto" w:fill="F4F8FB"/>
          </w:tcPr>
          <w:p>
            <w:pPr>
              <w:spacing w:after="40"/>
            </w:pPr>
            <w:r>
              <w:rPr>
                <w:rFonts w:ascii="Calibri" w:hAnsi="Calibri"/>
                <w:color w:val="1B2A4A"/>
                <w:sz w:val="20"/>
              </w:rPr>
              <w:t>deploy/terraform/stack/terraform.tfvars.example</w:t>
            </w:r>
          </w:p>
        </w:tc>
        <w:tc>
          <w:tcPr>
            <w:tcW w:type="dxa" w:w="5760"/>
            <w:vAlign w:val="center"/>
            <w:shd w:val="clear" w:color="auto" w:fill="F4F8FB"/>
          </w:tcPr>
          <w:p>
            <w:pPr>
              <w:spacing w:after="40"/>
            </w:pPr>
            <w:r>
              <w:rPr>
                <w:rFonts w:ascii="Calibri" w:hAnsi="Calibri"/>
                <w:color w:val="1B2A4A"/>
                <w:sz w:val="20"/>
              </w:rPr>
              <w:t>Path B sample input</w:t>
            </w:r>
          </w:p>
        </w:tc>
      </w:tr>
      <w:tr>
        <w:tc>
          <w:tcPr>
            <w:tcW w:type="dxa" w:w="4320"/>
            <w:vAlign w:val="center"/>
          </w:tcPr>
          <w:p>
            <w:pPr>
              <w:spacing w:after="40"/>
            </w:pPr>
            <w:r>
              <w:rPr>
                <w:rFonts w:ascii="Calibri" w:hAnsi="Calibri"/>
                <w:color w:val="1B2A4A"/>
                <w:sz w:val="20"/>
              </w:rPr>
              <w:t>deploy/clms-marketplace.json</w:t>
            </w:r>
          </w:p>
        </w:tc>
        <w:tc>
          <w:tcPr>
            <w:tcW w:type="dxa" w:w="5760"/>
            <w:vAlign w:val="center"/>
          </w:tcPr>
          <w:p>
            <w:pPr>
              <w:spacing w:after="40"/>
            </w:pPr>
            <w:r>
              <w:rPr>
                <w:rFonts w:ascii="Calibri" w:hAnsi="Calibri"/>
                <w:color w:val="1B2A4A"/>
                <w:sz w:val="20"/>
              </w:rPr>
              <w:t>Wrapper ARM template for CLMS (used by Paths A and C)</w:t>
            </w:r>
          </w:p>
        </w:tc>
      </w:tr>
      <w:tr>
        <w:tc>
          <w:tcPr>
            <w:tcW w:type="dxa" w:w="4320"/>
            <w:vAlign w:val="center"/>
            <w:shd w:val="clear" w:color="auto" w:fill="F4F8FB"/>
          </w:tcPr>
          <w:p>
            <w:pPr>
              <w:spacing w:after="40"/>
            </w:pPr>
            <w:r>
              <w:rPr>
                <w:rFonts w:ascii="Calibri" w:hAnsi="Calibri"/>
                <w:color w:val="1B2A4A"/>
                <w:sz w:val="20"/>
              </w:rPr>
              <w:t>deploy/vpb-marketplace.json</w:t>
            </w:r>
          </w:p>
        </w:tc>
        <w:tc>
          <w:tcPr>
            <w:tcW w:type="dxa" w:w="5760"/>
            <w:vAlign w:val="center"/>
            <w:shd w:val="clear" w:color="auto" w:fill="F4F8FB"/>
          </w:tcPr>
          <w:p>
            <w:pPr>
              <w:spacing w:after="40"/>
            </w:pPr>
            <w:r>
              <w:rPr>
                <w:rFonts w:ascii="Calibri" w:hAnsi="Calibri"/>
                <w:color w:val="1B2A4A"/>
                <w:sz w:val="20"/>
              </w:rPr>
              <w:t>Wrapper ARM template for vPB (used by Paths A and C)</w:t>
            </w:r>
          </w:p>
        </w:tc>
      </w:tr>
      <w:tr>
        <w:tc>
          <w:tcPr>
            <w:tcW w:type="dxa" w:w="4320"/>
            <w:vAlign w:val="center"/>
          </w:tcPr>
          <w:p>
            <w:pPr>
              <w:spacing w:after="40"/>
            </w:pPr>
            <w:r>
              <w:rPr>
                <w:rFonts w:ascii="Calibri" w:hAnsi="Calibri"/>
                <w:color w:val="1B2A4A"/>
                <w:sz w:val="20"/>
              </w:rPr>
              <w:t>docs/CloudLens_Stack_Deployment_Runbook.pdf</w:t>
            </w:r>
          </w:p>
        </w:tc>
        <w:tc>
          <w:tcPr>
            <w:tcW w:type="dxa" w:w="5760"/>
            <w:vAlign w:val="center"/>
          </w:tcPr>
          <w:p>
            <w:pPr>
              <w:spacing w:after="40"/>
            </w:pPr>
            <w:r>
              <w:rPr>
                <w:rFonts w:ascii="Calibri" w:hAnsi="Calibri"/>
                <w:color w:val="1B2A4A"/>
                <w:sz w:val="20"/>
              </w:rPr>
              <w:t>This document (PDF)</w:t>
            </w:r>
          </w:p>
        </w:tc>
      </w:tr>
      <w:tr>
        <w:tc>
          <w:tcPr>
            <w:tcW w:type="dxa" w:w="4320"/>
            <w:vAlign w:val="center"/>
            <w:shd w:val="clear" w:color="auto" w:fill="F4F8FB"/>
          </w:tcPr>
          <w:p>
            <w:pPr>
              <w:spacing w:after="40"/>
            </w:pPr>
            <w:r>
              <w:rPr>
                <w:rFonts w:ascii="Calibri" w:hAnsi="Calibri"/>
                <w:color w:val="1B2A4A"/>
                <w:sz w:val="20"/>
              </w:rPr>
              <w:t>docs/CloudLens_Stack_Deployment_Runbook.docx</w:t>
            </w:r>
          </w:p>
        </w:tc>
        <w:tc>
          <w:tcPr>
            <w:tcW w:type="dxa" w:w="5760"/>
            <w:vAlign w:val="center"/>
            <w:shd w:val="clear" w:color="auto" w:fill="F4F8FB"/>
          </w:tcPr>
          <w:p>
            <w:pPr>
              <w:spacing w:after="40"/>
            </w:pPr>
            <w:r>
              <w:rPr>
                <w:rFonts w:ascii="Calibri" w:hAnsi="Calibri"/>
                <w:color w:val="1B2A4A"/>
                <w:sz w:val="20"/>
              </w:rPr>
              <w:t>This document (Word)</w:t>
            </w:r>
          </w:p>
        </w:tc>
      </w:tr>
      <w:tr>
        <w:tc>
          <w:tcPr>
            <w:tcW w:type="dxa" w:w="4320"/>
            <w:vAlign w:val="center"/>
          </w:tcPr>
          <w:p>
            <w:pPr>
              <w:spacing w:after="40"/>
            </w:pPr>
            <w:r>
              <w:rPr>
                <w:rFonts w:ascii="Calibri" w:hAnsi="Calibri"/>
                <w:color w:val="1B2A4A"/>
                <w:sz w:val="20"/>
              </w:rPr>
              <w:t>quickstart.sh</w:t>
            </w:r>
          </w:p>
        </w:tc>
        <w:tc>
          <w:tcPr>
            <w:tcW w:type="dxa" w:w="5760"/>
            <w:vAlign w:val="center"/>
          </w:tcPr>
          <w:p>
            <w:pPr>
              <w:spacing w:after="40"/>
            </w:pPr>
            <w:r>
              <w:rPr>
                <w:rFonts w:ascii="Calibri" w:hAnsi="Calibri"/>
                <w:color w:val="1B2A4A"/>
                <w:sz w:val="20"/>
              </w:rPr>
              <w:t>Sensor deployment chain (called by deploy-stack.sh)</w:t>
            </w:r>
          </w:p>
        </w:tc>
      </w:tr>
    </w:tbl>
    <w:p/>
    <w:p>
      <w:pPr>
        <w:pStyle w:val="Heading2"/>
      </w:pPr>
      <w:r>
        <w:t>Command reference</w:t>
      </w:r>
    </w:p>
    <w:tbl>
      <w:tblPr>
        <w:tblStyle w:val="TableGrid"/>
        <w:tblW w:type="auto" w:w="0"/>
        <w:jc w:val="center"/>
        <w:tblLook w:firstColumn="1" w:firstRow="1" w:lastColumn="0" w:lastRow="0" w:noHBand="0" w:noVBand="1" w:val="04A0"/>
      </w:tblPr>
      <w:tblGrid>
        <w:gridCol w:w="4824"/>
        <w:gridCol w:w="4824"/>
      </w:tblGrid>
      <w:tr>
        <w:tc>
          <w:tcPr>
            <w:tcW w:type="dxa" w:w="3456"/>
            <w:shd w:val="clear" w:color="auto" w:fill="0078D4"/>
            <w:vAlign w:val="center"/>
          </w:tcPr>
          <w:p>
            <w:pPr>
              <w:spacing w:after="40"/>
              <w:jc w:val="left"/>
            </w:pPr>
            <w:r>
              <w:rPr>
                <w:rFonts w:ascii="Calibri" w:hAnsi="Calibri"/>
                <w:b/>
                <w:color w:val="FFFFFF"/>
                <w:sz w:val="21"/>
              </w:rPr>
              <w:t>Action</w:t>
            </w:r>
          </w:p>
        </w:tc>
        <w:tc>
          <w:tcPr>
            <w:tcW w:type="dxa" w:w="6624"/>
            <w:shd w:val="clear" w:color="auto" w:fill="0078D4"/>
            <w:vAlign w:val="center"/>
          </w:tcPr>
          <w:p>
            <w:pPr>
              <w:spacing w:after="40"/>
              <w:jc w:val="left"/>
            </w:pPr>
            <w:r>
              <w:rPr>
                <w:rFonts w:ascii="Calibri" w:hAnsi="Calibri"/>
                <w:b/>
                <w:color w:val="FFFFFF"/>
                <w:sz w:val="21"/>
              </w:rPr>
              <w:t>Command</w:t>
            </w:r>
          </w:p>
        </w:tc>
      </w:tr>
      <w:tr>
        <w:tc>
          <w:tcPr>
            <w:tcW w:type="dxa" w:w="3456"/>
            <w:vAlign w:val="center"/>
            <w:shd w:val="clear" w:color="auto" w:fill="F4F8FB"/>
          </w:tcPr>
          <w:p>
            <w:pPr>
              <w:spacing w:after="40"/>
            </w:pPr>
            <w:r>
              <w:rPr>
                <w:rFonts w:ascii="Calibri" w:hAnsi="Calibri"/>
                <w:color w:val="1B2A4A"/>
                <w:sz w:val="20"/>
              </w:rPr>
              <w:t>Run full stack (recommended)</w:t>
            </w:r>
          </w:p>
        </w:tc>
        <w:tc>
          <w:tcPr>
            <w:tcW w:type="dxa" w:w="6624"/>
            <w:vAlign w:val="center"/>
            <w:shd w:val="clear" w:color="auto" w:fill="F4F8FB"/>
          </w:tcPr>
          <w:p>
            <w:pPr>
              <w:spacing w:after="40"/>
            </w:pPr>
            <w:r>
              <w:rPr>
                <w:rFonts w:ascii="Calibri" w:hAnsi="Calibri"/>
                <w:color w:val="1B2A4A"/>
                <w:sz w:val="20"/>
              </w:rPr>
              <w:t>curl -sSL https://raw.githubusercontent.com/Keysight-Tech/cloudlens-ansible-azure/main/deploy/deploy-stack.sh | bash</w:t>
            </w:r>
          </w:p>
        </w:tc>
      </w:tr>
      <w:tr>
        <w:tc>
          <w:tcPr>
            <w:tcW w:type="dxa" w:w="3456"/>
            <w:vAlign w:val="center"/>
          </w:tcPr>
          <w:p>
            <w:pPr>
              <w:spacing w:after="40"/>
            </w:pPr>
            <w:r>
              <w:rPr>
                <w:rFonts w:ascii="Calibri" w:hAnsi="Calibri"/>
                <w:color w:val="1B2A4A"/>
                <w:sz w:val="20"/>
              </w:rPr>
              <w:t>Run full stack (dry-run)</w:t>
            </w:r>
          </w:p>
        </w:tc>
        <w:tc>
          <w:tcPr>
            <w:tcW w:type="dxa" w:w="6624"/>
            <w:vAlign w:val="center"/>
          </w:tcPr>
          <w:p>
            <w:pPr>
              <w:spacing w:after="40"/>
            </w:pPr>
            <w:r>
              <w:rPr>
                <w:rFonts w:ascii="Calibri" w:hAnsi="Calibri"/>
                <w:color w:val="1B2A4A"/>
                <w:sz w:val="20"/>
              </w:rPr>
              <w:t>bash deploy/deploy-stack.sh --dry-run</w:t>
            </w:r>
          </w:p>
        </w:tc>
      </w:tr>
      <w:tr>
        <w:tc>
          <w:tcPr>
            <w:tcW w:type="dxa" w:w="3456"/>
            <w:vAlign w:val="center"/>
            <w:shd w:val="clear" w:color="auto" w:fill="F4F8FB"/>
          </w:tcPr>
          <w:p>
            <w:pPr>
              <w:spacing w:after="40"/>
            </w:pPr>
            <w:r>
              <w:rPr>
                <w:rFonts w:ascii="Calibri" w:hAnsi="Calibri"/>
                <w:color w:val="1B2A4A"/>
                <w:sz w:val="20"/>
              </w:rPr>
              <w:t>Run CLMS only (skip vPB)</w:t>
            </w:r>
          </w:p>
        </w:tc>
        <w:tc>
          <w:tcPr>
            <w:tcW w:type="dxa" w:w="6624"/>
            <w:vAlign w:val="center"/>
            <w:shd w:val="clear" w:color="auto" w:fill="F4F8FB"/>
          </w:tcPr>
          <w:p>
            <w:pPr>
              <w:spacing w:after="40"/>
            </w:pPr>
            <w:r>
              <w:rPr>
                <w:rFonts w:ascii="Calibri" w:hAnsi="Calibri"/>
                <w:color w:val="1B2A4A"/>
                <w:sz w:val="20"/>
              </w:rPr>
              <w:t>bash deploy/deploy-stack.sh --no-vpb</w:t>
            </w:r>
          </w:p>
        </w:tc>
      </w:tr>
      <w:tr>
        <w:tc>
          <w:tcPr>
            <w:tcW w:type="dxa" w:w="3456"/>
            <w:vAlign w:val="center"/>
          </w:tcPr>
          <w:p>
            <w:pPr>
              <w:spacing w:after="40"/>
            </w:pPr>
            <w:r>
              <w:rPr>
                <w:rFonts w:ascii="Calibri" w:hAnsi="Calibri"/>
                <w:color w:val="1B2A4A"/>
                <w:sz w:val="20"/>
              </w:rPr>
              <w:t>Terraform apply</w:t>
            </w:r>
          </w:p>
        </w:tc>
        <w:tc>
          <w:tcPr>
            <w:tcW w:type="dxa" w:w="6624"/>
            <w:vAlign w:val="center"/>
          </w:tcPr>
          <w:p>
            <w:pPr>
              <w:spacing w:after="40"/>
            </w:pPr>
            <w:r>
              <w:rPr>
                <w:rFonts w:ascii="Calibri" w:hAnsi="Calibri"/>
                <w:color w:val="1B2A4A"/>
                <w:sz w:val="20"/>
              </w:rPr>
              <w:t>cd deploy/terraform/stack &amp;&amp; terraform apply</w:t>
            </w:r>
          </w:p>
        </w:tc>
      </w:tr>
      <w:tr>
        <w:tc>
          <w:tcPr>
            <w:tcW w:type="dxa" w:w="3456"/>
            <w:vAlign w:val="center"/>
            <w:shd w:val="clear" w:color="auto" w:fill="F4F8FB"/>
          </w:tcPr>
          <w:p>
            <w:pPr>
              <w:spacing w:after="40"/>
            </w:pPr>
            <w:r>
              <w:rPr>
                <w:rFonts w:ascii="Calibri" w:hAnsi="Calibri"/>
                <w:color w:val="1B2A4A"/>
                <w:sz w:val="20"/>
              </w:rPr>
              <w:t>Terraform destroy</w:t>
            </w:r>
          </w:p>
        </w:tc>
        <w:tc>
          <w:tcPr>
            <w:tcW w:type="dxa" w:w="6624"/>
            <w:vAlign w:val="center"/>
            <w:shd w:val="clear" w:color="auto" w:fill="F4F8FB"/>
          </w:tcPr>
          <w:p>
            <w:pPr>
              <w:spacing w:after="40"/>
            </w:pPr>
            <w:r>
              <w:rPr>
                <w:rFonts w:ascii="Calibri" w:hAnsi="Calibri"/>
                <w:color w:val="1B2A4A"/>
                <w:sz w:val="20"/>
              </w:rPr>
              <w:t>cd deploy/terraform/stack &amp;&amp; terraform destroy</w:t>
            </w:r>
          </w:p>
        </w:tc>
      </w:tr>
      <w:tr>
        <w:tc>
          <w:tcPr>
            <w:tcW w:type="dxa" w:w="3456"/>
            <w:vAlign w:val="center"/>
          </w:tcPr>
          <w:p>
            <w:pPr>
              <w:spacing w:after="40"/>
            </w:pPr>
            <w:r>
              <w:rPr>
                <w:rFonts w:ascii="Calibri" w:hAnsi="Calibri"/>
                <w:color w:val="1B2A4A"/>
                <w:sz w:val="20"/>
              </w:rPr>
              <w:t>Delete everything (RG)</w:t>
            </w:r>
          </w:p>
        </w:tc>
        <w:tc>
          <w:tcPr>
            <w:tcW w:type="dxa" w:w="6624"/>
            <w:vAlign w:val="center"/>
          </w:tcPr>
          <w:p>
            <w:pPr>
              <w:spacing w:after="40"/>
            </w:pPr>
            <w:r>
              <w:rPr>
                <w:rFonts w:ascii="Calibri" w:hAnsi="Calibri"/>
                <w:color w:val="1B2A4A"/>
                <w:sz w:val="20"/>
              </w:rPr>
              <w:t>az group delete -n cloudlens-rg --yes --no-wait</w:t>
            </w:r>
          </w:p>
        </w:tc>
      </w:tr>
    </w:tbl>
    <w:p/>
    <w:p>
      <w:pPr>
        <w:pStyle w:val="Heading2"/>
      </w:pPr>
      <w:r>
        <w:t>Useful links</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0078D4"/>
            <w:vAlign w:val="center"/>
          </w:tcPr>
          <w:p>
            <w:pPr>
              <w:spacing w:after="40"/>
              <w:jc w:val="left"/>
            </w:pPr>
            <w:r>
              <w:rPr>
                <w:rFonts w:ascii="Calibri" w:hAnsi="Calibri"/>
                <w:b/>
                <w:color w:val="FFFFFF"/>
                <w:sz w:val="21"/>
              </w:rPr>
              <w:t>Resource</w:t>
            </w:r>
          </w:p>
        </w:tc>
        <w:tc>
          <w:tcPr>
            <w:tcW w:type="dxa" w:w="6336"/>
            <w:shd w:val="clear" w:color="auto" w:fill="0078D4"/>
            <w:vAlign w:val="center"/>
          </w:tcPr>
          <w:p>
            <w:pPr>
              <w:spacing w:after="40"/>
              <w:jc w:val="left"/>
            </w:pPr>
            <w:r>
              <w:rPr>
                <w:rFonts w:ascii="Calibri" w:hAnsi="Calibri"/>
                <w:b/>
                <w:color w:val="FFFFFF"/>
                <w:sz w:val="21"/>
              </w:rPr>
              <w:t>Location</w:t>
            </w:r>
          </w:p>
        </w:tc>
      </w:tr>
      <w:tr>
        <w:tc>
          <w:tcPr>
            <w:tcW w:type="dxa" w:w="3744"/>
            <w:vAlign w:val="center"/>
            <w:shd w:val="clear" w:color="auto" w:fill="F4F8FB"/>
          </w:tcPr>
          <w:p>
            <w:pPr>
              <w:spacing w:after="40"/>
            </w:pPr>
            <w:r>
              <w:rPr>
                <w:rFonts w:ascii="Calibri" w:hAnsi="Calibri"/>
                <w:color w:val="1B2A4A"/>
                <w:sz w:val="20"/>
              </w:rPr>
              <w:t>GitHub repository</w:t>
            </w:r>
          </w:p>
        </w:tc>
        <w:tc>
          <w:tcPr>
            <w:tcW w:type="dxa" w:w="6336"/>
            <w:vAlign w:val="center"/>
            <w:shd w:val="clear" w:color="auto" w:fill="F4F8FB"/>
          </w:tcPr>
          <w:p>
            <w:pPr>
              <w:spacing w:after="40"/>
            </w:pPr>
            <w:r>
              <w:rPr>
                <w:rFonts w:ascii="Calibri" w:hAnsi="Calibri"/>
                <w:color w:val="1B2A4A"/>
                <w:sz w:val="20"/>
              </w:rPr>
              <w:t>https://github.com/Keysight-Tech/cloudlens-ansible-azure</w:t>
            </w:r>
          </w:p>
        </w:tc>
      </w:tr>
      <w:tr>
        <w:tc>
          <w:tcPr>
            <w:tcW w:type="dxa" w:w="3744"/>
            <w:vAlign w:val="center"/>
          </w:tcPr>
          <w:p>
            <w:pPr>
              <w:spacing w:after="40"/>
            </w:pPr>
            <w:r>
              <w:rPr>
                <w:rFonts w:ascii="Calibri" w:hAnsi="Calibri"/>
                <w:color w:val="1B2A4A"/>
                <w:sz w:val="20"/>
              </w:rPr>
              <w:t>Landing page</w:t>
            </w:r>
          </w:p>
        </w:tc>
        <w:tc>
          <w:tcPr>
            <w:tcW w:type="dxa" w:w="6336"/>
            <w:vAlign w:val="center"/>
          </w:tcPr>
          <w:p>
            <w:pPr>
              <w:spacing w:after="40"/>
            </w:pPr>
            <w:r>
              <w:rPr>
                <w:rFonts w:ascii="Calibri" w:hAnsi="Calibri"/>
                <w:color w:val="1B2A4A"/>
                <w:sz w:val="20"/>
              </w:rPr>
              <w:t>https://keysight-tech.github.io/cloudlens-ansible-azure/</w:t>
            </w:r>
          </w:p>
        </w:tc>
      </w:tr>
      <w:tr>
        <w:tc>
          <w:tcPr>
            <w:tcW w:type="dxa" w:w="3744"/>
            <w:vAlign w:val="center"/>
            <w:shd w:val="clear" w:color="auto" w:fill="F4F8FB"/>
          </w:tcPr>
          <w:p>
            <w:pPr>
              <w:spacing w:after="40"/>
            </w:pPr>
            <w:r>
              <w:rPr>
                <w:rFonts w:ascii="Calibri" w:hAnsi="Calibri"/>
                <w:color w:val="1B2A4A"/>
                <w:sz w:val="20"/>
              </w:rPr>
              <w:t>Sensor runbook (companion document)</w:t>
            </w:r>
          </w:p>
        </w:tc>
        <w:tc>
          <w:tcPr>
            <w:tcW w:type="dxa" w:w="6336"/>
            <w:vAlign w:val="center"/>
            <w:shd w:val="clear" w:color="auto" w:fill="F4F8FB"/>
          </w:tcPr>
          <w:p>
            <w:pPr>
              <w:spacing w:after="40"/>
            </w:pPr>
            <w:r>
              <w:rPr>
                <w:rFonts w:ascii="Calibri" w:hAnsi="Calibri"/>
                <w:color w:val="1B2A4A"/>
                <w:sz w:val="20"/>
              </w:rPr>
              <w:t>docs/CloudLens_Ansible_Azure_Customer_Runbook.pdf</w:t>
            </w:r>
          </w:p>
        </w:tc>
      </w:tr>
      <w:tr>
        <w:tc>
          <w:tcPr>
            <w:tcW w:type="dxa" w:w="3744"/>
            <w:vAlign w:val="center"/>
          </w:tcPr>
          <w:p>
            <w:pPr>
              <w:spacing w:after="40"/>
            </w:pPr>
            <w:r>
              <w:rPr>
                <w:rFonts w:ascii="Calibri" w:hAnsi="Calibri"/>
                <w:color w:val="1B2A4A"/>
                <w:sz w:val="20"/>
              </w:rPr>
              <w:t>Deployment guide (technical)</w:t>
            </w:r>
          </w:p>
        </w:tc>
        <w:tc>
          <w:tcPr>
            <w:tcW w:type="dxa" w:w="6336"/>
            <w:vAlign w:val="center"/>
          </w:tcPr>
          <w:p>
            <w:pPr>
              <w:spacing w:after="40"/>
            </w:pPr>
            <w:r>
              <w:rPr>
                <w:rFonts w:ascii="Calibri" w:hAnsi="Calibri"/>
                <w:color w:val="1B2A4A"/>
                <w:sz w:val="20"/>
              </w:rPr>
              <w:t>docs/DEPLOYMENT_GUIDE.md</w:t>
            </w:r>
          </w:p>
        </w:tc>
      </w:tr>
      <w:tr>
        <w:tc>
          <w:tcPr>
            <w:tcW w:type="dxa" w:w="3744"/>
            <w:vAlign w:val="center"/>
            <w:shd w:val="clear" w:color="auto" w:fill="F4F8FB"/>
          </w:tcPr>
          <w:p>
            <w:pPr>
              <w:spacing w:after="40"/>
            </w:pPr>
            <w:r>
              <w:rPr>
                <w:rFonts w:ascii="Calibri" w:hAnsi="Calibri"/>
                <w:color w:val="1B2A4A"/>
                <w:sz w:val="20"/>
              </w:rPr>
              <w:t>Troubleshooting reference</w:t>
            </w:r>
          </w:p>
        </w:tc>
        <w:tc>
          <w:tcPr>
            <w:tcW w:type="dxa" w:w="6336"/>
            <w:vAlign w:val="center"/>
            <w:shd w:val="clear" w:color="auto" w:fill="F4F8FB"/>
          </w:tcPr>
          <w:p>
            <w:pPr>
              <w:spacing w:after="40"/>
            </w:pPr>
            <w:r>
              <w:rPr>
                <w:rFonts w:ascii="Calibri" w:hAnsi="Calibri"/>
                <w:color w:val="1B2A4A"/>
                <w:sz w:val="20"/>
              </w:rPr>
              <w:t>docs/TROUBLESHOOTING.md</w:t>
            </w:r>
          </w:p>
        </w:tc>
      </w:tr>
      <w:tr>
        <w:tc>
          <w:tcPr>
            <w:tcW w:type="dxa" w:w="3744"/>
            <w:vAlign w:val="center"/>
          </w:tcPr>
          <w:p>
            <w:pPr>
              <w:spacing w:after="40"/>
            </w:pPr>
            <w:r>
              <w:rPr>
                <w:rFonts w:ascii="Calibri" w:hAnsi="Calibri"/>
                <w:color w:val="1B2A4A"/>
                <w:sz w:val="20"/>
              </w:rPr>
              <w:t>Issues / support</w:t>
            </w:r>
          </w:p>
        </w:tc>
        <w:tc>
          <w:tcPr>
            <w:tcW w:type="dxa" w:w="6336"/>
            <w:vAlign w:val="center"/>
          </w:tcPr>
          <w:p>
            <w:pPr>
              <w:spacing w:after="40"/>
            </w:pPr>
            <w:r>
              <w:rPr>
                <w:rFonts w:ascii="Calibri" w:hAnsi="Calibri"/>
                <w:color w:val="1B2A4A"/>
                <w:sz w:val="20"/>
              </w:rPr>
              <w:t>https://github.com/Keysight-Tech/cloudlens-ansible-azure/issues</w:t>
            </w:r>
          </w:p>
        </w:tc>
      </w:tr>
      <w:tr>
        <w:tc>
          <w:tcPr>
            <w:tcW w:type="dxa" w:w="3744"/>
            <w:vAlign w:val="center"/>
            <w:shd w:val="clear" w:color="auto" w:fill="F4F8FB"/>
          </w:tcPr>
          <w:p>
            <w:pPr>
              <w:spacing w:after="40"/>
            </w:pPr>
            <w:r>
              <w:rPr>
                <w:rFonts w:ascii="Calibri" w:hAnsi="Calibri"/>
                <w:color w:val="1B2A4A"/>
                <w:sz w:val="20"/>
              </w:rPr>
              <w:t>Related: vPB + Azure GWLB</w:t>
            </w:r>
          </w:p>
        </w:tc>
        <w:tc>
          <w:tcPr>
            <w:tcW w:type="dxa" w:w="6336"/>
            <w:vAlign w:val="center"/>
            <w:shd w:val="clear" w:color="auto" w:fill="F4F8FB"/>
          </w:tcPr>
          <w:p>
            <w:pPr>
              <w:spacing w:after="40"/>
            </w:pPr>
            <w:r>
              <w:rPr>
                <w:rFonts w:ascii="Calibri" w:hAnsi="Calibri"/>
                <w:color w:val="1B2A4A"/>
                <w:sz w:val="20"/>
              </w:rPr>
              <w:t>https://github.com/Keysight-Tech/cloudlens-vpb-azure-gwlb</w:t>
            </w:r>
          </w:p>
        </w:tc>
      </w:tr>
    </w:tbl>
    <w:p/>
    <w:p>
      <w:r>
        <w:rPr>
          <w:rFonts w:ascii="Calibri" w:hAnsi="Calibri"/>
          <w:b w:val="0"/>
          <w:i/>
          <w:color w:val="556575"/>
          <w:sz w:val="20"/>
        </w:rPr>
        <w:t>Support email subject (for the Keysight account team): 'CloudLens Stack: &lt;customer name&gt;, &lt;brief issue&gt;'.</w:t>
      </w:r>
    </w:p>
    <w:sectPr w:rsidR="00FC693F" w:rsidRPr="0006063C" w:rsidSect="00034616">
      <w:headerReference w:type="default" r:id="rId9"/>
      <w:footerReference w:type="default" r:id="rId10"/>
      <w:pgSz w:w="12240" w:h="15840"/>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6575"/>
        <w:sz w:val="18"/>
      </w:rPr>
      <w:t xml:space="preserve">Keysight Technologies   |   </w:t>
    </w:r>
    <w:r>
      <w:rPr>
        <w:rFonts w:ascii="Calibri" w:hAnsi="Calibri"/>
        <w:color w:val="55657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005A9E"/>
        <w:sz w:val="18"/>
      </w:rPr>
      <w:t>CloudLens Stack Deployment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B2A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78D4"/>
      <w:sz w:val="4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05A9E"/>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