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color w:val="D4AF37"/>
          <w:sz w:val="40"/>
        </w:rPr>
        <w:t>KEYSIGHT</w:t>
      </w:r>
    </w:p>
    <w:p>
      <w:pPr>
        <w:jc w:val="center"/>
      </w:pPr>
      <w:r>
        <w:rPr>
          <w:rFonts w:ascii="Calibri" w:hAnsi="Calibri"/>
          <w:b/>
          <w:color w:val="1B2A4A"/>
          <w:sz w:val="20"/>
        </w:rPr>
        <w:t>TECHNOLOGIES</w:t>
      </w:r>
    </w:p>
    <w:p/>
    <w:p/>
    <w:p/>
    <w:p/>
    <w:p>
      <w:pPr>
        <w:jc w:val="center"/>
      </w:pPr>
      <w:r>
        <w:rPr>
          <w:rFonts w:ascii="Calibri" w:hAnsi="Calibri"/>
          <w:b/>
          <w:color w:val="0078D4"/>
          <w:sz w:val="72"/>
        </w:rPr>
        <w:t>CloudLens Ansible</w:t>
      </w:r>
    </w:p>
    <w:p>
      <w:pPr>
        <w:jc w:val="center"/>
      </w:pPr>
      <w:r>
        <w:rPr>
          <w:rFonts w:ascii="Calibri" w:hAnsi="Calibri"/>
          <w:color w:val="005A9E"/>
          <w:sz w:val="52"/>
        </w:rPr>
        <w:t>Azure Customer Runbook</w:t>
      </w:r>
    </w:p>
    <w:p/>
    <w:p/>
    <w:p>
      <w:pPr>
        <w:jc w:val="center"/>
      </w:pPr>
      <w:r>
        <w:rPr>
          <w:rFonts w:ascii="Calibri" w:hAnsi="Calibri"/>
          <w:i/>
          <w:color w:val="556575"/>
          <w:sz w:val="28"/>
        </w:rPr>
        <w:t>Automated sensor deployment for Linux and Windows VMs at scale</w:t>
      </w:r>
    </w:p>
    <w:p/>
    <w:p/>
    <w:p/>
    <w:p/>
    <w:p/>
    <w:p/>
    <w:p/>
    <w:p/>
    <w:tbl>
      <w:tblPr>
        <w:tblW w:type="auto" w:w="0"/>
        <w:jc w:val="center"/>
        <w:tblLayout w:type="fixed"/>
        <w:tblLook w:firstColumn="1" w:firstRow="1" w:lastColumn="0" w:lastRow="0" w:noHBand="0" w:noVBand="1" w:val="04A0"/>
      </w:tblPr>
      <w:tblGrid>
        <w:gridCol w:w="4824"/>
        <w:gridCol w:w="4824"/>
      </w:tblGrid>
      <w:tr>
        <w:tc>
          <w:tcPr>
            <w:tcW w:type="dxa" w:w="2880"/>
            <w:shd w:val="clear" w:color="auto" w:fill="0078D4"/>
          </w:tcPr>
          <w:p>
            <w:pPr>
              <w:jc w:val="right"/>
            </w:pPr>
            <w:r>
              <w:rPr>
                <w:rFonts w:ascii="Calibri" w:hAnsi="Calibri"/>
                <w:b/>
                <w:color w:val="FFFFFF"/>
                <w:sz w:val="22"/>
              </w:rPr>
              <w:t>Version</w:t>
            </w:r>
          </w:p>
        </w:tc>
        <w:tc>
          <w:tcPr>
            <w:tcW w:type="dxa" w:w="2880"/>
            <w:shd w:val="clear" w:color="auto" w:fill="F4F8FB"/>
          </w:tcPr>
          <w:p>
            <w:pPr>
              <w:jc w:val="left"/>
            </w:pPr>
            <w:r>
              <w:rPr>
                <w:rFonts w:ascii="Calibri" w:hAnsi="Calibri"/>
                <w:b/>
                <w:color w:val="1B2A4A"/>
                <w:sz w:val="22"/>
              </w:rPr>
              <w:t>v1.0.0</w:t>
            </w:r>
          </w:p>
        </w:tc>
      </w:tr>
      <w:tr>
        <w:tc>
          <w:tcPr>
            <w:tcW w:type="dxa" w:w="2880"/>
            <w:shd w:val="clear" w:color="auto" w:fill="0078D4"/>
          </w:tcPr>
          <w:p>
            <w:pPr>
              <w:jc w:val="right"/>
            </w:pPr>
            <w:r>
              <w:rPr>
                <w:rFonts w:ascii="Calibri" w:hAnsi="Calibri"/>
                <w:b/>
                <w:color w:val="FFFFFF"/>
                <w:sz w:val="22"/>
              </w:rPr>
              <w:t>Date</w:t>
            </w:r>
          </w:p>
        </w:tc>
        <w:tc>
          <w:tcPr>
            <w:tcW w:type="dxa" w:w="2880"/>
            <w:shd w:val="clear" w:color="auto" w:fill="F4F8FB"/>
          </w:tcPr>
          <w:p>
            <w:pPr>
              <w:jc w:val="left"/>
            </w:pPr>
            <w:r>
              <w:rPr>
                <w:rFonts w:ascii="Calibri" w:hAnsi="Calibri"/>
                <w:b/>
                <w:color w:val="1B2A4A"/>
                <w:sz w:val="22"/>
              </w:rPr>
              <w:t>June 2026</w:t>
            </w:r>
          </w:p>
        </w:tc>
      </w:tr>
    </w:tbl>
    <w:p/>
    <w:p/>
    <w:p>
      <w:pPr>
        <w:jc w:val="center"/>
      </w:pPr>
      <w:r>
        <w:rPr>
          <w:rFonts w:ascii="Calibri" w:hAnsi="Calibri"/>
          <w:i/>
          <w:color w:val="556575"/>
          <w:sz w:val="20"/>
        </w:rPr>
        <w:t>Keysight Technologies   |   Network Visibility Solutions</w:t>
      </w:r>
    </w:p>
    <w:p>
      <w:r>
        <w:br w:type="page"/>
      </w:r>
    </w:p>
    <w:p>
      <w:pPr>
        <w:pStyle w:val="Heading1"/>
      </w:pPr>
      <w:r>
        <w:t>Table of Contents</w:t>
      </w:r>
    </w:p>
    <w:p>
      <w:pPr>
        <w:spacing w:after="120"/>
      </w:pPr>
    </w:p>
    <w:p>
      <w:pPr>
        <w:tabs>
          <w:tab w:pos="9072" w:val="right" w:leader="dot"/>
        </w:tabs>
        <w:spacing w:after="40" w:before="0"/>
      </w:pPr>
      <w:r>
        <w:rPr>
          <w:rFonts w:ascii="Calibri" w:hAnsi="Calibri"/>
          <w:b/>
          <w:color w:val="005A9E"/>
          <w:sz w:val="24"/>
        </w:rPr>
        <w:t>1. Executive Summary</w:t>
      </w:r>
      <w:r>
        <w:tab/>
      </w:r>
    </w:p>
    <w:p>
      <w:pPr>
        <w:tabs>
          <w:tab w:pos="9072" w:val="right" w:leader="dot"/>
        </w:tabs>
        <w:spacing w:after="40" w:before="0"/>
      </w:pPr>
      <w:r>
        <w:rPr>
          <w:rFonts w:ascii="Calibri" w:hAnsi="Calibri"/>
          <w:b/>
          <w:color w:val="005A9E"/>
          <w:sz w:val="24"/>
        </w:rPr>
        <w:t>2. Solution Overview</w:t>
      </w:r>
      <w:r>
        <w:tab/>
      </w:r>
    </w:p>
    <w:p>
      <w:pPr>
        <w:tabs>
          <w:tab w:pos="9072" w:val="right" w:leader="dot"/>
        </w:tabs>
        <w:spacing w:after="40" w:before="0"/>
      </w:pPr>
      <w:r>
        <w:rPr>
          <w:rFonts w:ascii="Calibri" w:hAnsi="Calibri"/>
          <w:b/>
          <w:color w:val="005A9E"/>
          <w:sz w:val="24"/>
        </w:rPr>
        <w:t>3. Choosing Your Deployment Path</w:t>
      </w:r>
      <w:r>
        <w:tab/>
      </w:r>
    </w:p>
    <w:p>
      <w:pPr>
        <w:tabs>
          <w:tab w:pos="9072" w:val="right" w:leader="dot"/>
        </w:tabs>
        <w:spacing w:after="40" w:before="0"/>
      </w:pPr>
      <w:r>
        <w:rPr>
          <w:rFonts w:ascii="Calibri" w:hAnsi="Calibri"/>
          <w:b/>
          <w:color w:val="005A9E"/>
          <w:sz w:val="24"/>
        </w:rPr>
        <w:t>4. Prerequisites Checklist</w:t>
      </w:r>
      <w:r>
        <w:tab/>
      </w:r>
    </w:p>
    <w:p>
      <w:pPr>
        <w:tabs>
          <w:tab w:pos="9072" w:val="right" w:leader="dot"/>
        </w:tabs>
        <w:spacing w:after="40" w:before="0"/>
      </w:pPr>
      <w:r>
        <w:rPr>
          <w:rFonts w:ascii="Calibri" w:hAnsi="Calibri"/>
          <w:b/>
          <w:color w:val="005A9E"/>
          <w:sz w:val="24"/>
        </w:rPr>
        <w:t>5. Deployment, Step by Step</w:t>
      </w:r>
      <w:r>
        <w:tab/>
      </w:r>
    </w:p>
    <w:p>
      <w:pPr>
        <w:tabs>
          <w:tab w:pos="9072" w:val="right" w:leader="dot"/>
        </w:tabs>
        <w:spacing w:after="40" w:before="0"/>
        <w:ind w:left="504"/>
      </w:pPr>
      <w:r>
        <w:rPr>
          <w:rFonts w:ascii="Calibri" w:hAnsi="Calibri"/>
          <w:b w:val="0"/>
          <w:color w:val="1B2A4A"/>
          <w:sz w:val="21"/>
        </w:rPr>
        <w:t>5.1  Tier 1: One-Click from the Azure Portal</w:t>
      </w:r>
      <w:r>
        <w:tab/>
      </w:r>
    </w:p>
    <w:p>
      <w:pPr>
        <w:tabs>
          <w:tab w:pos="9072" w:val="right" w:leader="dot"/>
        </w:tabs>
        <w:spacing w:after="40" w:before="0"/>
        <w:ind w:left="504"/>
      </w:pPr>
      <w:r>
        <w:rPr>
          <w:rFonts w:ascii="Calibri" w:hAnsi="Calibri"/>
          <w:b w:val="0"/>
          <w:color w:val="1B2A4A"/>
          <w:sz w:val="21"/>
        </w:rPr>
        <w:t>5.2  Tier 2: Azure Cloud Shell</w:t>
      </w:r>
      <w:r>
        <w:tab/>
      </w:r>
    </w:p>
    <w:p>
      <w:pPr>
        <w:tabs>
          <w:tab w:pos="9072" w:val="right" w:leader="dot"/>
        </w:tabs>
        <w:spacing w:after="40" w:before="0"/>
        <w:ind w:left="504"/>
      </w:pPr>
      <w:r>
        <w:rPr>
          <w:rFonts w:ascii="Calibri" w:hAnsi="Calibri"/>
          <w:b w:val="0"/>
          <w:color w:val="1B2A4A"/>
          <w:sz w:val="21"/>
        </w:rPr>
        <w:t>5.3  Tier 3: Docker (laptop or CI/CD)</w:t>
      </w:r>
      <w:r>
        <w:tab/>
      </w:r>
    </w:p>
    <w:p>
      <w:pPr>
        <w:tabs>
          <w:tab w:pos="9072" w:val="right" w:leader="dot"/>
        </w:tabs>
        <w:spacing w:after="40" w:before="0"/>
      </w:pPr>
      <w:r>
        <w:rPr>
          <w:rFonts w:ascii="Calibri" w:hAnsi="Calibri"/>
          <w:b/>
          <w:color w:val="005A9E"/>
          <w:sz w:val="24"/>
        </w:rPr>
        <w:t>6. Supported VM Scenarios</w:t>
      </w:r>
      <w:r>
        <w:tab/>
      </w:r>
    </w:p>
    <w:p>
      <w:pPr>
        <w:tabs>
          <w:tab w:pos="9072" w:val="right" w:leader="dot"/>
        </w:tabs>
        <w:spacing w:after="40" w:before="0"/>
      </w:pPr>
      <w:r>
        <w:rPr>
          <w:rFonts w:ascii="Calibri" w:hAnsi="Calibri"/>
          <w:b/>
          <w:color w:val="005A9E"/>
          <w:sz w:val="24"/>
        </w:rPr>
        <w:t>7. Verification Checklist</w:t>
      </w:r>
      <w:r>
        <w:tab/>
      </w:r>
    </w:p>
    <w:p>
      <w:pPr>
        <w:tabs>
          <w:tab w:pos="9072" w:val="right" w:leader="dot"/>
        </w:tabs>
        <w:spacing w:after="40" w:before="0"/>
      </w:pPr>
      <w:r>
        <w:rPr>
          <w:rFonts w:ascii="Calibri" w:hAnsi="Calibri"/>
          <w:b/>
          <w:color w:val="005A9E"/>
          <w:sz w:val="24"/>
        </w:rPr>
        <w:t>8. Scaling Guide</w:t>
      </w:r>
      <w:r>
        <w:tab/>
      </w:r>
    </w:p>
    <w:p>
      <w:pPr>
        <w:tabs>
          <w:tab w:pos="9072" w:val="right" w:leader="dot"/>
        </w:tabs>
        <w:spacing w:after="40" w:before="0"/>
      </w:pPr>
      <w:r>
        <w:rPr>
          <w:rFonts w:ascii="Calibri" w:hAnsi="Calibri"/>
          <w:b/>
          <w:color w:val="005A9E"/>
          <w:sz w:val="24"/>
        </w:rPr>
        <w:t>9. Troubleshooting Reference</w:t>
      </w:r>
      <w:r>
        <w:tab/>
      </w:r>
    </w:p>
    <w:p>
      <w:pPr>
        <w:tabs>
          <w:tab w:pos="9072" w:val="right" w:leader="dot"/>
        </w:tabs>
        <w:spacing w:after="40" w:before="0"/>
      </w:pPr>
      <w:r>
        <w:rPr>
          <w:rFonts w:ascii="Calibri" w:hAnsi="Calibri"/>
          <w:b/>
          <w:color w:val="005A9E"/>
          <w:sz w:val="24"/>
        </w:rPr>
        <w:t>Appendix A: customer_input.yaml Schema</w:t>
      </w:r>
      <w:r>
        <w:tab/>
      </w:r>
    </w:p>
    <w:p>
      <w:pPr>
        <w:tabs>
          <w:tab w:pos="9072" w:val="right" w:leader="dot"/>
        </w:tabs>
        <w:spacing w:after="40" w:before="0"/>
      </w:pPr>
      <w:r>
        <w:rPr>
          <w:rFonts w:ascii="Calibri" w:hAnsi="Calibri"/>
          <w:b/>
          <w:color w:val="005A9E"/>
          <w:sz w:val="24"/>
        </w:rPr>
        <w:t>Appendix B: Bulk Tag Script</w:t>
      </w:r>
      <w:r>
        <w:tab/>
      </w:r>
    </w:p>
    <w:p>
      <w:pPr>
        <w:tabs>
          <w:tab w:pos="9072" w:val="right" w:leader="dot"/>
        </w:tabs>
        <w:spacing w:after="40" w:before="0"/>
      </w:pPr>
      <w:r>
        <w:rPr>
          <w:rFonts w:ascii="Calibri" w:hAnsi="Calibri"/>
          <w:b/>
          <w:color w:val="005A9E"/>
          <w:sz w:val="24"/>
        </w:rPr>
        <w:t>Appendix C: Quick Links</w:t>
      </w:r>
      <w:r>
        <w:tab/>
      </w:r>
    </w:p>
    <w:p>
      <w:r>
        <w:br w:type="page"/>
      </w:r>
    </w:p>
    <w:p>
      <w:pPr>
        <w:pStyle w:val="Heading1"/>
      </w:pPr>
      <w:r>
        <w:t>1. Executive Summary</w:t>
      </w:r>
    </w:p>
    <w:p>
      <w:r>
        <w:rPr>
          <w:rFonts w:ascii="Calibri" w:hAnsi="Calibri"/>
          <w:b w:val="0"/>
          <w:i w:val="0"/>
          <w:sz w:val="22"/>
        </w:rPr>
        <w:t>CloudLens Ansible for Azure is a fully automated kit that deploys Keysight CloudLens sensors to every tagged virtual machine in an Azure subscription. It works on Linux and Windows, from a single VM to 5,000+, without any manual per-host steps.</w:t>
      </w:r>
    </w:p>
    <w:p>
      <w:r>
        <w:rPr>
          <w:rFonts w:ascii="Calibri" w:hAnsi="Calibri"/>
          <w:b w:val="0"/>
          <w:i w:val="0"/>
          <w:sz w:val="22"/>
        </w:rPr>
        <w:t>It is built for customer DevOps and network teams who need network visibility instrumented quickly and reliably, and for Keysight Sales Engineers who need a repeatable, demoable proof-of-value asset.</w:t>
      </w:r>
    </w:p>
    <w:p>
      <w:pPr>
        <w:pStyle w:val="Heading2"/>
      </w:pPr>
      <w:r>
        <w:t>Why it matters</w:t>
      </w:r>
    </w:p>
    <w:p>
      <w:pPr>
        <w:pStyle w:val="ListBullet"/>
      </w:pPr>
      <w:r>
        <w:rPr>
          <w:rFonts w:ascii="Calibri" w:hAnsi="Calibri"/>
          <w:color w:val="1B2A4A"/>
          <w:sz w:val="22"/>
        </w:rPr>
        <w:t>Eliminates the per-VM SSH / RDP grind. Tag a VM with cloudlens=yes and the kit handles the rest.</w:t>
      </w:r>
    </w:p>
    <w:p>
      <w:pPr>
        <w:pStyle w:val="ListBullet"/>
      </w:pPr>
      <w:r>
        <w:rPr>
          <w:rFonts w:ascii="Calibri" w:hAnsi="Calibri"/>
          <w:color w:val="1B2A4A"/>
          <w:sz w:val="22"/>
        </w:rPr>
        <w:t>Three entry points (Azure Portal one-click, Cloud Shell curl, or Docker), so customers run it wherever they already work.</w:t>
      </w:r>
    </w:p>
    <w:p>
      <w:pPr>
        <w:pStyle w:val="ListBullet"/>
      </w:pPr>
      <w:r>
        <w:rPr>
          <w:rFonts w:ascii="Calibri" w:hAnsi="Calibri"/>
          <w:color w:val="1B2A4A"/>
          <w:sz w:val="22"/>
        </w:rPr>
        <w:t>Production-tested against real Azure. End-to-end deployment of 3 mixed-OS sensors verified in 8 minutes.</w:t>
      </w:r>
    </w:p>
    <w:p>
      <w:pPr>
        <w:pStyle w:val="Heading2"/>
      </w:pPr>
      <w:r>
        <w:t>Proof points</w:t>
      </w:r>
    </w:p>
    <w:tbl>
      <w:tblPr>
        <w:tblStyle w:val="TableGrid"/>
        <w:tblW w:type="auto" w:w="0"/>
        <w:jc w:val="center"/>
        <w:tblLook w:firstColumn="1" w:firstRow="1" w:lastColumn="0" w:lastRow="0" w:noHBand="0" w:noVBand="1" w:val="04A0"/>
      </w:tblPr>
      <w:tblGrid>
        <w:gridCol w:w="3216"/>
        <w:gridCol w:w="3216"/>
        <w:gridCol w:w="3216"/>
      </w:tblGrid>
      <w:tr>
        <w:tc>
          <w:tcPr>
            <w:tcW w:type="dxa" w:w="5472"/>
            <w:shd w:val="clear" w:color="auto" w:fill="0078D4"/>
            <w:vAlign w:val="center"/>
          </w:tcPr>
          <w:p>
            <w:pPr>
              <w:spacing w:after="40"/>
              <w:jc w:val="left"/>
            </w:pPr>
            <w:r>
              <w:rPr>
                <w:rFonts w:ascii="Calibri" w:hAnsi="Calibri"/>
                <w:b/>
                <w:color w:val="FFFFFF"/>
                <w:sz w:val="21"/>
              </w:rPr>
              <w:t>Scenario</w:t>
            </w:r>
          </w:p>
        </w:tc>
        <w:tc>
          <w:tcPr>
            <w:tcW w:type="dxa" w:w="2880"/>
            <w:shd w:val="clear" w:color="auto" w:fill="0078D4"/>
            <w:vAlign w:val="center"/>
          </w:tcPr>
          <w:p>
            <w:pPr>
              <w:spacing w:after="40"/>
              <w:jc w:val="left"/>
            </w:pPr>
            <w:r>
              <w:rPr>
                <w:rFonts w:ascii="Calibri" w:hAnsi="Calibri"/>
                <w:b/>
                <w:color w:val="FFFFFF"/>
                <w:sz w:val="21"/>
              </w:rPr>
              <w:t>Result</w:t>
            </w:r>
          </w:p>
        </w:tc>
        <w:tc>
          <w:tcPr>
            <w:tcW w:type="dxa" w:w="1296"/>
            <w:shd w:val="clear" w:color="auto" w:fill="0078D4"/>
            <w:vAlign w:val="center"/>
          </w:tcPr>
          <w:p>
            <w:pPr>
              <w:spacing w:after="40"/>
              <w:jc w:val="left"/>
            </w:pPr>
            <w:r>
              <w:rPr>
                <w:rFonts w:ascii="Calibri" w:hAnsi="Calibri"/>
                <w:b/>
                <w:color w:val="FFFFFF"/>
                <w:sz w:val="21"/>
              </w:rPr>
              <w:t>Time</w:t>
            </w:r>
          </w:p>
        </w:tc>
      </w:tr>
      <w:tr>
        <w:tc>
          <w:tcPr>
            <w:tcW w:type="dxa" w:w="5472"/>
            <w:vAlign w:val="center"/>
            <w:shd w:val="clear" w:color="auto" w:fill="F4F8FB"/>
          </w:tcPr>
          <w:p>
            <w:pPr>
              <w:spacing w:after="40"/>
            </w:pPr>
            <w:r>
              <w:rPr>
                <w:rFonts w:ascii="Calibri" w:hAnsi="Calibri"/>
                <w:color w:val="1B2A4A"/>
                <w:sz w:val="20"/>
              </w:rPr>
              <w:t>Ubuntu 22.04 (private IP via jumpbox)</w:t>
            </w:r>
          </w:p>
        </w:tc>
        <w:tc>
          <w:tcPr>
            <w:tcW w:type="dxa" w:w="2880"/>
            <w:vAlign w:val="center"/>
            <w:shd w:val="clear" w:color="auto" w:fill="F4F8FB"/>
          </w:tcPr>
          <w:p>
            <w:pPr>
              <w:spacing w:after="40"/>
            </w:pPr>
            <w:r>
              <w:rPr>
                <w:rFonts w:ascii="Calibri" w:hAnsi="Calibri"/>
                <w:color w:val="1B2A4A"/>
                <w:sz w:val="20"/>
              </w:rPr>
              <w:t>Sensor running</w:t>
            </w:r>
          </w:p>
        </w:tc>
        <w:tc>
          <w:tcPr>
            <w:tcW w:type="dxa" w:w="1296"/>
            <w:vAlign w:val="center"/>
            <w:shd w:val="clear" w:color="auto" w:fill="F4F8FB"/>
          </w:tcPr>
          <w:p>
            <w:pPr>
              <w:spacing w:after="40"/>
            </w:pPr>
            <w:r>
              <w:rPr>
                <w:rFonts w:ascii="Calibri" w:hAnsi="Calibri"/>
                <w:color w:val="1B2A4A"/>
                <w:sz w:val="20"/>
              </w:rPr>
              <w:t>4 min</w:t>
            </w:r>
          </w:p>
        </w:tc>
      </w:tr>
      <w:tr>
        <w:tc>
          <w:tcPr>
            <w:tcW w:type="dxa" w:w="5472"/>
            <w:vAlign w:val="center"/>
          </w:tcPr>
          <w:p>
            <w:pPr>
              <w:spacing w:after="40"/>
            </w:pPr>
            <w:r>
              <w:rPr>
                <w:rFonts w:ascii="Calibri" w:hAnsi="Calibri"/>
                <w:color w:val="1B2A4A"/>
                <w:sz w:val="20"/>
              </w:rPr>
              <w:t>Ubuntu 22.04 (private IP via jumpbox)</w:t>
            </w:r>
          </w:p>
        </w:tc>
        <w:tc>
          <w:tcPr>
            <w:tcW w:type="dxa" w:w="2880"/>
            <w:vAlign w:val="center"/>
          </w:tcPr>
          <w:p>
            <w:pPr>
              <w:spacing w:after="40"/>
            </w:pPr>
            <w:r>
              <w:rPr>
                <w:rFonts w:ascii="Calibri" w:hAnsi="Calibri"/>
                <w:color w:val="1B2A4A"/>
                <w:sz w:val="20"/>
              </w:rPr>
              <w:t>Sensor running</w:t>
            </w:r>
          </w:p>
        </w:tc>
        <w:tc>
          <w:tcPr>
            <w:tcW w:type="dxa" w:w="1296"/>
            <w:vAlign w:val="center"/>
          </w:tcPr>
          <w:p>
            <w:pPr>
              <w:spacing w:after="40"/>
            </w:pPr>
            <w:r>
              <w:rPr>
                <w:rFonts w:ascii="Calibri" w:hAnsi="Calibri"/>
                <w:color w:val="1B2A4A"/>
                <w:sz w:val="20"/>
              </w:rPr>
              <w:t>4 min</w:t>
            </w:r>
          </w:p>
        </w:tc>
      </w:tr>
      <w:tr>
        <w:tc>
          <w:tcPr>
            <w:tcW w:type="dxa" w:w="5472"/>
            <w:vAlign w:val="center"/>
            <w:shd w:val="clear" w:color="auto" w:fill="F4F8FB"/>
          </w:tcPr>
          <w:p>
            <w:pPr>
              <w:spacing w:after="40"/>
            </w:pPr>
            <w:r>
              <w:rPr>
                <w:rFonts w:ascii="Calibri" w:hAnsi="Calibri"/>
                <w:color w:val="1B2A4A"/>
                <w:sz w:val="20"/>
              </w:rPr>
              <w:t>Windows Server 2022 (WinRM direct)</w:t>
            </w:r>
          </w:p>
        </w:tc>
        <w:tc>
          <w:tcPr>
            <w:tcW w:type="dxa" w:w="2880"/>
            <w:vAlign w:val="center"/>
            <w:shd w:val="clear" w:color="auto" w:fill="F4F8FB"/>
          </w:tcPr>
          <w:p>
            <w:pPr>
              <w:spacing w:after="40"/>
            </w:pPr>
            <w:r>
              <w:rPr>
                <w:rFonts w:ascii="Calibri" w:hAnsi="Calibri"/>
                <w:color w:val="1B2A4A"/>
                <w:sz w:val="20"/>
              </w:rPr>
              <w:t>Sensor running</w:t>
            </w:r>
          </w:p>
        </w:tc>
        <w:tc>
          <w:tcPr>
            <w:tcW w:type="dxa" w:w="1296"/>
            <w:vAlign w:val="center"/>
            <w:shd w:val="clear" w:color="auto" w:fill="F4F8FB"/>
          </w:tcPr>
          <w:p>
            <w:pPr>
              <w:spacing w:after="40"/>
            </w:pPr>
            <w:r>
              <w:rPr>
                <w:rFonts w:ascii="Calibri" w:hAnsi="Calibri"/>
                <w:color w:val="1B2A4A"/>
                <w:sz w:val="20"/>
              </w:rPr>
              <w:t>6 min</w:t>
            </w:r>
          </w:p>
        </w:tc>
      </w:tr>
      <w:tr>
        <w:tc>
          <w:tcPr>
            <w:tcW w:type="dxa" w:w="5472"/>
            <w:vAlign w:val="center"/>
          </w:tcPr>
          <w:p>
            <w:pPr>
              <w:spacing w:after="40"/>
            </w:pPr>
            <w:r>
              <w:rPr>
                <w:rFonts w:ascii="Calibri" w:hAnsi="Calibri"/>
                <w:color w:val="1B2A4A"/>
                <w:sz w:val="20"/>
              </w:rPr>
              <w:t>CLMS 6.14.141 registration</w:t>
            </w:r>
          </w:p>
        </w:tc>
        <w:tc>
          <w:tcPr>
            <w:tcW w:type="dxa" w:w="2880"/>
            <w:vAlign w:val="center"/>
          </w:tcPr>
          <w:p>
            <w:pPr>
              <w:spacing w:after="40"/>
            </w:pPr>
            <w:r>
              <w:rPr>
                <w:rFonts w:ascii="Calibri" w:hAnsi="Calibri"/>
                <w:color w:val="1B2A4A"/>
                <w:sz w:val="20"/>
              </w:rPr>
              <w:t>All 3 sensors registered</w:t>
            </w:r>
          </w:p>
        </w:tc>
        <w:tc>
          <w:tcPr>
            <w:tcW w:type="dxa" w:w="1296"/>
            <w:vAlign w:val="center"/>
          </w:tcPr>
          <w:p>
            <w:pPr>
              <w:spacing w:after="40"/>
            </w:pPr>
            <w:r>
              <w:rPr>
                <w:rFonts w:ascii="Calibri" w:hAnsi="Calibri"/>
                <w:color w:val="1B2A4A"/>
                <w:sz w:val="20"/>
              </w:rPr>
              <w:t>&lt;1 min</w:t>
            </w:r>
          </w:p>
        </w:tc>
      </w:tr>
      <w:tr>
        <w:tc>
          <w:tcPr>
            <w:tcW w:type="dxa" w:w="5472"/>
            <w:vAlign w:val="center"/>
            <w:shd w:val="clear" w:color="auto" w:fill="F4F8FB"/>
          </w:tcPr>
          <w:p>
            <w:pPr>
              <w:spacing w:after="40"/>
            </w:pPr>
            <w:r>
              <w:rPr>
                <w:rFonts w:ascii="Calibri" w:hAnsi="Calibri"/>
                <w:color w:val="1B2A4A"/>
                <w:sz w:val="20"/>
              </w:rPr>
              <w:t>End-to-end</w:t>
            </w:r>
          </w:p>
        </w:tc>
        <w:tc>
          <w:tcPr>
            <w:tcW w:type="dxa" w:w="2880"/>
            <w:vAlign w:val="center"/>
            <w:shd w:val="clear" w:color="auto" w:fill="F4F8FB"/>
          </w:tcPr>
          <w:p>
            <w:pPr>
              <w:spacing w:after="40"/>
            </w:pPr>
            <w:r>
              <w:rPr>
                <w:rFonts w:ascii="Calibri" w:hAnsi="Calibri"/>
                <w:color w:val="1B2A4A"/>
                <w:sz w:val="20"/>
              </w:rPr>
              <w:t>3/3 success</w:t>
            </w:r>
          </w:p>
        </w:tc>
        <w:tc>
          <w:tcPr>
            <w:tcW w:type="dxa" w:w="1296"/>
            <w:vAlign w:val="center"/>
            <w:shd w:val="clear" w:color="auto" w:fill="F4F8FB"/>
          </w:tcPr>
          <w:p>
            <w:pPr>
              <w:spacing w:after="40"/>
            </w:pPr>
            <w:r>
              <w:rPr>
                <w:rFonts w:ascii="Calibri" w:hAnsi="Calibri"/>
                <w:color w:val="1B2A4A"/>
                <w:sz w:val="20"/>
              </w:rPr>
              <w:t>8 min</w:t>
            </w:r>
          </w:p>
        </w:tc>
      </w:tr>
    </w:tbl>
    <w:p/>
    <w:p>
      <w:r>
        <w:rPr>
          <w:rFonts w:ascii="Calibri" w:hAnsi="Calibri"/>
          <w:b w:val="0"/>
          <w:i/>
          <w:color w:val="556575"/>
          <w:sz w:val="20"/>
        </w:rPr>
        <w:t>Date verified: 2026-06-02. Subscription: CloudLensPublic (eastus2).</w:t>
      </w:r>
    </w:p>
    <w:p>
      <w:r>
        <w:br w:type="page"/>
      </w:r>
    </w:p>
    <w:p>
      <w:pPr>
        <w:pStyle w:val="Heading1"/>
      </w:pPr>
      <w:r>
        <w:t>2. Solution Overview</w:t>
      </w:r>
    </w:p>
    <w:p>
      <w:pPr>
        <w:jc w:val="center"/>
      </w:pPr>
      <w:r>
        <w:drawing>
          <wp:inline xmlns:a="http://schemas.openxmlformats.org/drawingml/2006/main" xmlns:pic="http://schemas.openxmlformats.org/drawingml/2006/picture">
            <wp:extent cx="5943600" cy="2971800"/>
            <wp:docPr id="1" name="Picture 1"/>
            <wp:cNvGraphicFramePr>
              <a:graphicFrameLocks noChangeAspect="1"/>
            </wp:cNvGraphicFramePr>
            <a:graphic>
              <a:graphicData uri="http://schemas.openxmlformats.org/drawingml/2006/picture">
                <pic:pic>
                  <pic:nvPicPr>
                    <pic:cNvPr id="0" name="architecture-diagram.png"/>
                    <pic:cNvPicPr/>
                  </pic:nvPicPr>
                  <pic:blipFill>
                    <a:blip r:embed="rId11"/>
                    <a:stretch>
                      <a:fillRect/>
                    </a:stretch>
                  </pic:blipFill>
                  <pic:spPr>
                    <a:xfrm>
                      <a:off x="0" y="0"/>
                      <a:ext cx="5943600" cy="2971800"/>
                    </a:xfrm>
                    <a:prstGeom prst="rect"/>
                  </pic:spPr>
                </pic:pic>
              </a:graphicData>
            </a:graphic>
          </wp:inline>
        </w:drawing>
      </w:r>
    </w:p>
    <w:p>
      <w:pPr>
        <w:jc w:val="center"/>
      </w:pPr>
      <w:r>
        <w:rPr>
          <w:i/>
          <w:color w:val="556575"/>
          <w:sz w:val="19"/>
        </w:rPr>
        <w:t>Figure 1: End-to-end architecture (control point → Azure inventory → OS lanes → CLMS)</w:t>
      </w:r>
    </w:p>
    <w:p>
      <w:r>
        <w:rPr>
          <w:rFonts w:ascii="Calibri" w:hAnsi="Calibri"/>
          <w:b w:val="0"/>
          <w:i w:val="0"/>
          <w:sz w:val="22"/>
        </w:rPr>
        <w:t>A single Ansible control point authenticates to Azure (Service Principal, Managed Identity, or Cloud Shell session), queries the Azure Resource Manager API for every VM matching the customer's tag filter, and routes each host to the OS-specific playbook lane: Ubuntu, RHEL, or Windows.</w:t>
      </w:r>
    </w:p>
    <w:p>
      <w:r>
        <w:rPr>
          <w:rFonts w:ascii="Calibri" w:hAnsi="Calibri"/>
          <w:b w:val="0"/>
          <w:i w:val="0"/>
          <w:sz w:val="22"/>
        </w:rPr>
        <w:t>Linux hosts run the CloudLens agent in a Docker container. Windows hosts run the CloudLens Windows sensor as a native service. Every sensor self-registers with CloudLens Manager (CLMS) on first start using the project key supplied in customer_input.yaml. No per-VM UI steps, no static inventory files to maintain.</w:t>
      </w:r>
    </w:p>
    <w:p>
      <w:r>
        <w:br w:type="page"/>
      </w:r>
    </w:p>
    <w:p>
      <w:pPr>
        <w:pStyle w:val="Heading1"/>
      </w:pPr>
      <w:r>
        <w:t>3. Choosing Your Deployment Path</w:t>
      </w:r>
    </w:p>
    <w:p>
      <w:r>
        <w:rPr>
          <w:rFonts w:ascii="Calibri" w:hAnsi="Calibri"/>
          <w:b w:val="0"/>
          <w:i w:val="0"/>
          <w:sz w:val="22"/>
        </w:rPr>
        <w:t>All three paths run the same Ansible engine. Same playbooks, same automation. Pick the entry point that matches how your team works.</w:t>
      </w:r>
    </w:p>
    <w:p>
      <w:pPr>
        <w:jc w:val="center"/>
      </w:pPr>
      <w:r>
        <w:drawing>
          <wp:inline xmlns:a="http://schemas.openxmlformats.org/drawingml/2006/main" xmlns:pic="http://schemas.openxmlformats.org/drawingml/2006/picture">
            <wp:extent cx="5486400" cy="3415284"/>
            <wp:docPr id="2" name="Picture 2"/>
            <wp:cNvGraphicFramePr>
              <a:graphicFrameLocks noChangeAspect="1"/>
            </wp:cNvGraphicFramePr>
            <a:graphic>
              <a:graphicData uri="http://schemas.openxmlformats.org/drawingml/2006/picture">
                <pic:pic>
                  <pic:nvPicPr>
                    <pic:cNvPr id="0" name="decision-tree.png"/>
                    <pic:cNvPicPr/>
                  </pic:nvPicPr>
                  <pic:blipFill>
                    <a:blip r:embed="rId12"/>
                    <a:stretch>
                      <a:fillRect/>
                    </a:stretch>
                  </pic:blipFill>
                  <pic:spPr>
                    <a:xfrm>
                      <a:off x="0" y="0"/>
                      <a:ext cx="5486400" cy="3415284"/>
                    </a:xfrm>
                    <a:prstGeom prst="rect"/>
                  </pic:spPr>
                </pic:pic>
              </a:graphicData>
            </a:graphic>
          </wp:inline>
        </w:drawing>
      </w:r>
    </w:p>
    <w:p>
      <w:pPr>
        <w:jc w:val="center"/>
      </w:pPr>
      <w:r>
        <w:rPr>
          <w:i/>
          <w:color w:val="556575"/>
          <w:sz w:val="19"/>
        </w:rPr>
        <w:t>Figure 2: Decision tree (pick the entry point that matches your environment)</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48"/>
            <w:shd w:val="clear" w:color="auto" w:fill="0078D4"/>
            <w:vAlign w:val="center"/>
          </w:tcPr>
          <w:p>
            <w:pPr>
              <w:spacing w:after="40"/>
              <w:jc w:val="left"/>
            </w:pPr>
            <w:r>
              <w:rPr>
                <w:rFonts w:ascii="Calibri" w:hAnsi="Calibri"/>
                <w:b/>
                <w:color w:val="FFFFFF"/>
                <w:sz w:val="21"/>
              </w:rPr>
              <w:t>Tier</w:t>
            </w:r>
          </w:p>
        </w:tc>
        <w:tc>
          <w:tcPr>
            <w:tcW w:type="dxa" w:w="3600"/>
            <w:shd w:val="clear" w:color="auto" w:fill="0078D4"/>
            <w:vAlign w:val="center"/>
          </w:tcPr>
          <w:p>
            <w:pPr>
              <w:spacing w:after="40"/>
              <w:jc w:val="left"/>
            </w:pPr>
            <w:r>
              <w:rPr>
                <w:rFonts w:ascii="Calibri" w:hAnsi="Calibri"/>
                <w:b/>
                <w:color w:val="FFFFFF"/>
                <w:sz w:val="21"/>
              </w:rPr>
              <w:t>Best For</w:t>
            </w:r>
          </w:p>
        </w:tc>
        <w:tc>
          <w:tcPr>
            <w:tcW w:type="dxa" w:w="2448"/>
            <w:shd w:val="clear" w:color="auto" w:fill="0078D4"/>
            <w:vAlign w:val="center"/>
          </w:tcPr>
          <w:p>
            <w:pPr>
              <w:spacing w:after="40"/>
              <w:jc w:val="left"/>
            </w:pPr>
            <w:r>
              <w:rPr>
                <w:rFonts w:ascii="Calibri" w:hAnsi="Calibri"/>
                <w:b/>
                <w:color w:val="FFFFFF"/>
                <w:sz w:val="21"/>
              </w:rPr>
              <w:t>Tools Needed</w:t>
            </w:r>
          </w:p>
        </w:tc>
        <w:tc>
          <w:tcPr>
            <w:tcW w:type="dxa" w:w="1296"/>
            <w:shd w:val="clear" w:color="auto" w:fill="0078D4"/>
            <w:vAlign w:val="center"/>
          </w:tcPr>
          <w:p>
            <w:pPr>
              <w:spacing w:after="40"/>
              <w:jc w:val="left"/>
            </w:pPr>
            <w:r>
              <w:rPr>
                <w:rFonts w:ascii="Calibri" w:hAnsi="Calibri"/>
                <w:b/>
                <w:color w:val="FFFFFF"/>
                <w:sz w:val="21"/>
              </w:rPr>
              <w:t>Effort</w:t>
            </w:r>
          </w:p>
        </w:tc>
      </w:tr>
      <w:tr>
        <w:tc>
          <w:tcPr>
            <w:tcW w:type="dxa" w:w="2448"/>
            <w:vAlign w:val="center"/>
            <w:shd w:val="clear" w:color="auto" w:fill="F4F8FB"/>
          </w:tcPr>
          <w:p>
            <w:pPr>
              <w:spacing w:after="40"/>
            </w:pPr>
            <w:r>
              <w:rPr>
                <w:rFonts w:ascii="Calibri" w:hAnsi="Calibri"/>
                <w:color w:val="1B2A4A"/>
                <w:sz w:val="20"/>
              </w:rPr>
              <w:t>Tier 1: One-Click Portal</w:t>
            </w:r>
          </w:p>
        </w:tc>
        <w:tc>
          <w:tcPr>
            <w:tcW w:type="dxa" w:w="3600"/>
            <w:vAlign w:val="center"/>
            <w:shd w:val="clear" w:color="auto" w:fill="F4F8FB"/>
          </w:tcPr>
          <w:p>
            <w:pPr>
              <w:spacing w:after="40"/>
            </w:pPr>
            <w:r>
              <w:rPr>
                <w:rFonts w:ascii="Calibri" w:hAnsi="Calibri"/>
                <w:color w:val="1B2A4A"/>
                <w:sz w:val="20"/>
              </w:rPr>
              <w:t>Customers who live in the Azure Portal and want zero local setup</w:t>
            </w:r>
          </w:p>
        </w:tc>
        <w:tc>
          <w:tcPr>
            <w:tcW w:type="dxa" w:w="2448"/>
            <w:vAlign w:val="center"/>
            <w:shd w:val="clear" w:color="auto" w:fill="F4F8FB"/>
          </w:tcPr>
          <w:p>
            <w:pPr>
              <w:spacing w:after="40"/>
            </w:pPr>
            <w:r>
              <w:rPr>
                <w:rFonts w:ascii="Calibri" w:hAnsi="Calibri"/>
                <w:color w:val="1B2A4A"/>
                <w:sz w:val="20"/>
              </w:rPr>
              <w:t>Web browser only</w:t>
            </w:r>
          </w:p>
        </w:tc>
        <w:tc>
          <w:tcPr>
            <w:tcW w:type="dxa" w:w="1296"/>
            <w:vAlign w:val="center"/>
            <w:shd w:val="clear" w:color="auto" w:fill="F4F8FB"/>
          </w:tcPr>
          <w:p>
            <w:pPr>
              <w:spacing w:after="40"/>
            </w:pPr>
            <w:r>
              <w:rPr>
                <w:rFonts w:ascii="Calibri" w:hAnsi="Calibri"/>
                <w:color w:val="1B2A4A"/>
                <w:sz w:val="20"/>
              </w:rPr>
              <w:t>Lowest</w:t>
            </w:r>
          </w:p>
        </w:tc>
      </w:tr>
      <w:tr>
        <w:tc>
          <w:tcPr>
            <w:tcW w:type="dxa" w:w="2448"/>
            <w:vAlign w:val="center"/>
          </w:tcPr>
          <w:p>
            <w:pPr>
              <w:spacing w:after="40"/>
            </w:pPr>
            <w:r>
              <w:rPr>
                <w:rFonts w:ascii="Calibri" w:hAnsi="Calibri"/>
                <w:color w:val="1B2A4A"/>
                <w:sz w:val="20"/>
              </w:rPr>
              <w:t>Tier 2: Cloud Shell</w:t>
            </w:r>
          </w:p>
        </w:tc>
        <w:tc>
          <w:tcPr>
            <w:tcW w:type="dxa" w:w="3600"/>
            <w:vAlign w:val="center"/>
          </w:tcPr>
          <w:p>
            <w:pPr>
              <w:spacing w:after="40"/>
            </w:pPr>
            <w:r>
              <w:rPr>
                <w:rFonts w:ascii="Calibri" w:hAnsi="Calibri"/>
                <w:color w:val="1B2A4A"/>
                <w:sz w:val="20"/>
              </w:rPr>
              <w:t>Customers already authenticated to Azure in the browser</w:t>
            </w:r>
          </w:p>
        </w:tc>
        <w:tc>
          <w:tcPr>
            <w:tcW w:type="dxa" w:w="2448"/>
            <w:vAlign w:val="center"/>
          </w:tcPr>
          <w:p>
            <w:pPr>
              <w:spacing w:after="40"/>
            </w:pPr>
            <w:r>
              <w:rPr>
                <w:rFonts w:ascii="Calibri" w:hAnsi="Calibri"/>
                <w:color w:val="1B2A4A"/>
                <w:sz w:val="20"/>
              </w:rPr>
              <w:t>Azure Cloud Shell (pre-authenticated)</w:t>
            </w:r>
          </w:p>
        </w:tc>
        <w:tc>
          <w:tcPr>
            <w:tcW w:type="dxa" w:w="1296"/>
            <w:vAlign w:val="center"/>
          </w:tcPr>
          <w:p>
            <w:pPr>
              <w:spacing w:after="40"/>
            </w:pPr>
            <w:r>
              <w:rPr>
                <w:rFonts w:ascii="Calibri" w:hAnsi="Calibri"/>
                <w:color w:val="1B2A4A"/>
                <w:sz w:val="20"/>
              </w:rPr>
              <w:t>Low</w:t>
            </w:r>
          </w:p>
        </w:tc>
      </w:tr>
      <w:tr>
        <w:tc>
          <w:tcPr>
            <w:tcW w:type="dxa" w:w="2448"/>
            <w:vAlign w:val="center"/>
            <w:shd w:val="clear" w:color="auto" w:fill="F4F8FB"/>
          </w:tcPr>
          <w:p>
            <w:pPr>
              <w:spacing w:after="40"/>
            </w:pPr>
            <w:r>
              <w:rPr>
                <w:rFonts w:ascii="Calibri" w:hAnsi="Calibri"/>
                <w:color w:val="1B2A4A"/>
                <w:sz w:val="20"/>
              </w:rPr>
              <w:t>Tier 3: Docker</w:t>
            </w:r>
          </w:p>
        </w:tc>
        <w:tc>
          <w:tcPr>
            <w:tcW w:type="dxa" w:w="3600"/>
            <w:vAlign w:val="center"/>
            <w:shd w:val="clear" w:color="auto" w:fill="F4F8FB"/>
          </w:tcPr>
          <w:p>
            <w:pPr>
              <w:spacing w:after="40"/>
            </w:pPr>
            <w:r>
              <w:rPr>
                <w:rFonts w:ascii="Calibri" w:hAnsi="Calibri"/>
                <w:color w:val="1B2A4A"/>
                <w:sz w:val="20"/>
              </w:rPr>
              <w:t>Repeatable runs from a laptop or CI/CD pipeline</w:t>
            </w:r>
          </w:p>
        </w:tc>
        <w:tc>
          <w:tcPr>
            <w:tcW w:type="dxa" w:w="2448"/>
            <w:vAlign w:val="center"/>
            <w:shd w:val="clear" w:color="auto" w:fill="F4F8FB"/>
          </w:tcPr>
          <w:p>
            <w:pPr>
              <w:spacing w:after="40"/>
            </w:pPr>
            <w:r>
              <w:rPr>
                <w:rFonts w:ascii="Calibri" w:hAnsi="Calibri"/>
                <w:color w:val="1B2A4A"/>
                <w:sz w:val="20"/>
              </w:rPr>
              <w:t>Docker, Service Principal, customer_input.yaml</w:t>
            </w:r>
          </w:p>
        </w:tc>
        <w:tc>
          <w:tcPr>
            <w:tcW w:type="dxa" w:w="1296"/>
            <w:vAlign w:val="center"/>
            <w:shd w:val="clear" w:color="auto" w:fill="F4F8FB"/>
          </w:tcPr>
          <w:p>
            <w:pPr>
              <w:spacing w:after="40"/>
            </w:pPr>
            <w:r>
              <w:rPr>
                <w:rFonts w:ascii="Calibri" w:hAnsi="Calibri"/>
                <w:color w:val="1B2A4A"/>
                <w:sz w:val="20"/>
              </w:rPr>
              <w:t>Medium</w:t>
            </w:r>
          </w:p>
        </w:tc>
      </w:tr>
    </w:tbl>
    <w:p/>
    <w:p>
      <w:r>
        <w:br w:type="page"/>
      </w:r>
    </w:p>
    <w:p>
      <w:pPr>
        <w:pStyle w:val="Heading1"/>
      </w:pPr>
      <w:r>
        <w:t>4. Prerequisites Checklist (Printable)</w:t>
      </w:r>
    </w:p>
    <w:p>
      <w:r>
        <w:rPr>
          <w:rFonts w:ascii="Calibri" w:hAnsi="Calibri"/>
          <w:b w:val="0"/>
          <w:i w:val="0"/>
          <w:sz w:val="22"/>
        </w:rPr>
        <w:t>Confirm every item below before kicking off a deployment. Tick each box as you go. The kit will not magically fix a missing prerequisite.</w:t>
      </w:r>
    </w:p>
    <w:p>
      <w:pPr>
        <w:spacing w:after="80"/>
        <w:ind w:left="144"/>
      </w:pPr>
      <w:r>
        <w:rPr>
          <w:rFonts w:ascii="Segoe UI Symbol" w:hAnsi="Segoe UI Symbol"/>
          <w:color w:val="005A9E"/>
          <w:sz w:val="26"/>
        </w:rPr>
        <w:t xml:space="preserve">☐  </w:t>
      </w:r>
      <w:r>
        <w:rPr>
          <w:rFonts w:ascii="Calibri" w:hAnsi="Calibri"/>
          <w:color w:val="1B2A4A"/>
          <w:sz w:val="22"/>
        </w:rPr>
        <w:t>Azure subscription with at least Reader + Virtual Machine Contributor roles</w:t>
      </w:r>
    </w:p>
    <w:p>
      <w:pPr>
        <w:spacing w:after="80"/>
        <w:ind w:left="144"/>
      </w:pPr>
      <w:r>
        <w:rPr>
          <w:rFonts w:ascii="Segoe UI Symbol" w:hAnsi="Segoe UI Symbol"/>
          <w:color w:val="005A9E"/>
          <w:sz w:val="26"/>
        </w:rPr>
        <w:t xml:space="preserve">☐  </w:t>
      </w:r>
      <w:r>
        <w:rPr>
          <w:rFonts w:ascii="Calibri" w:hAnsi="Calibri"/>
          <w:color w:val="1B2A4A"/>
          <w:sz w:val="22"/>
        </w:rPr>
        <w:t>Service Principal created (Tier 3 only: see scripts/setup_azure_sp.sh)</w:t>
      </w:r>
    </w:p>
    <w:p>
      <w:pPr>
        <w:spacing w:after="80"/>
        <w:ind w:left="144"/>
      </w:pPr>
      <w:r>
        <w:rPr>
          <w:rFonts w:ascii="Segoe UI Symbol" w:hAnsi="Segoe UI Symbol"/>
          <w:color w:val="005A9E"/>
          <w:sz w:val="26"/>
        </w:rPr>
        <w:t xml:space="preserve">☐  </w:t>
      </w:r>
      <w:r>
        <w:rPr>
          <w:rFonts w:ascii="Calibri" w:hAnsi="Calibri"/>
          <w:color w:val="1B2A4A"/>
          <w:sz w:val="22"/>
        </w:rPr>
        <w:t>CLMS Manager deployed and reachable from the target VM subnets</w:t>
      </w:r>
    </w:p>
    <w:p>
      <w:pPr>
        <w:spacing w:after="80"/>
        <w:ind w:left="144"/>
      </w:pPr>
      <w:r>
        <w:rPr>
          <w:rFonts w:ascii="Segoe UI Symbol" w:hAnsi="Segoe UI Symbol"/>
          <w:color w:val="005A9E"/>
          <w:sz w:val="26"/>
        </w:rPr>
        <w:t xml:space="preserve">☐  </w:t>
      </w:r>
      <w:r>
        <w:rPr>
          <w:rFonts w:ascii="Calibri" w:hAnsi="Calibri"/>
          <w:color w:val="1B2A4A"/>
          <w:sz w:val="22"/>
        </w:rPr>
        <w:t>Project Key obtained from the CLMS UI (Projects → API Keys)</w:t>
      </w:r>
    </w:p>
    <w:p>
      <w:pPr>
        <w:spacing w:after="80"/>
        <w:ind w:left="144"/>
      </w:pPr>
      <w:r>
        <w:rPr>
          <w:rFonts w:ascii="Segoe UI Symbol" w:hAnsi="Segoe UI Symbol"/>
          <w:color w:val="005A9E"/>
          <w:sz w:val="26"/>
        </w:rPr>
        <w:t xml:space="preserve">☐  </w:t>
      </w:r>
      <w:r>
        <w:rPr>
          <w:rFonts w:ascii="Calibri" w:hAnsi="Calibri"/>
          <w:color w:val="1B2A4A"/>
          <w:sz w:val="22"/>
        </w:rPr>
        <w:t>Target VMs tagged with cloudlens=yes, os=ubuntu|rhel|windows, env=prod|dev|qa</w:t>
      </w:r>
    </w:p>
    <w:p>
      <w:pPr>
        <w:spacing w:after="80"/>
        <w:ind w:left="144"/>
      </w:pPr>
      <w:r>
        <w:rPr>
          <w:rFonts w:ascii="Segoe UI Symbol" w:hAnsi="Segoe UI Symbol"/>
          <w:color w:val="005A9E"/>
          <w:sz w:val="26"/>
        </w:rPr>
        <w:t xml:space="preserve">☐  </w:t>
      </w:r>
      <w:r>
        <w:rPr>
          <w:rFonts w:ascii="Calibri" w:hAnsi="Calibri"/>
          <w:color w:val="1B2A4A"/>
          <w:sz w:val="22"/>
        </w:rPr>
        <w:t>SSH key (Linux) and Windows admin password ready in your control environment</w:t>
      </w:r>
    </w:p>
    <w:tbl>
      <w:tblPr>
        <w:tblW w:type="auto" w:w="0"/>
        <w:tblLayout w:type="autofit"/>
        <w:tblLook w:firstColumn="1" w:firstRow="1" w:lastColumn="0" w:lastRow="0" w:noHBand="0" w:noVBand="1" w:val="04A0"/>
      </w:tblPr>
      <w:tblGrid>
        <w:gridCol w:w="9648"/>
      </w:tblGrid>
      <w:tr>
        <w:tc>
          <w:tcPr>
            <w:tcW w:type="dxa" w:w="9648"/>
            <w:shd w:val="clear" w:color="auto" w:fill="DDEBF7"/>
            <w:tcBorders>
              <w:top w:val="single" w:sz="6" w:space="0" w:color="0078D4"/>
              <w:left w:val="single" w:sz="6" w:space="0" w:color="0078D4"/>
              <w:bottom w:val="single" w:sz="6" w:space="0" w:color="0078D4"/>
              <w:right w:val="single" w:sz="6" w:space="0" w:color="0078D4"/>
            </w:tcBorders>
          </w:tcPr>
          <w:p>
            <w:pPr>
              <w:spacing w:after="40"/>
            </w:pPr>
            <w:r>
              <w:rPr>
                <w:rFonts w:ascii="Calibri" w:hAnsi="Calibri"/>
                <w:b/>
                <w:color w:val="005A9E"/>
                <w:sz w:val="21"/>
              </w:rPr>
              <w:t>Tip</w:t>
            </w:r>
          </w:p>
          <w:p>
            <w:r>
              <w:rPr>
                <w:rFonts w:ascii="Calibri" w:hAnsi="Calibri"/>
                <w:color w:val="1B2A4A"/>
                <w:sz w:val="21"/>
              </w:rPr>
              <w:t>Tags are how the dynamic inventory discovers hosts. If a VM is not tagged, the kit cannot see it. That is the single most common support ticket. Use the bulk-tag script in Appendix B to tag an entire resource group in one shot.</w:t>
            </w:r>
          </w:p>
        </w:tc>
      </w:tr>
    </w:tbl>
    <w:p/>
    <w:p>
      <w:r>
        <w:br w:type="page"/>
      </w:r>
    </w:p>
    <w:p>
      <w:pPr>
        <w:pStyle w:val="Heading1"/>
      </w:pPr>
      <w:r>
        <w:t>5. Deployment, Step by Step</w:t>
      </w:r>
    </w:p>
    <w:p>
      <w:pPr>
        <w:pStyle w:val="Heading2"/>
      </w:pPr>
      <w:r>
        <w:t>5.1  Tier 1: One-Click from the Azure Portal</w:t>
      </w:r>
    </w:p>
    <w:p>
      <w:r>
        <w:rPr>
          <w:rFonts w:ascii="Calibri" w:hAnsi="Calibri"/>
          <w:b w:val="0"/>
          <w:i w:val="0"/>
          <w:sz w:val="22"/>
        </w:rPr>
        <w:t>Best when you want zero local tools. The Portal provisions a short-lived Ubuntu runner VM in your subscription, the runner uses Managed Identity to authenticate, deploys sensors to every tagged VM, then self-destructs.</w:t>
      </w:r>
    </w:p>
    <w:p>
      <w:pPr>
        <w:pStyle w:val="ListNumber"/>
      </w:pPr>
      <w:r>
        <w:rPr>
          <w:rFonts w:ascii="Calibri" w:hAnsi="Calibri"/>
          <w:color w:val="1B2A4A"/>
          <w:sz w:val="22"/>
        </w:rPr>
        <w:t>Open the README in GitHub and click the 'Deploy to Azure' button.</w:t>
      </w:r>
    </w:p>
    <w:p>
      <w:pPr>
        <w:pStyle w:val="ListNumber"/>
      </w:pPr>
      <w:r>
        <w:rPr>
          <w:rFonts w:ascii="Calibri" w:hAnsi="Calibri"/>
          <w:color w:val="1B2A4A"/>
          <w:sz w:val="22"/>
        </w:rPr>
        <w:t>Sign in to the Azure Portal when prompted; the ARM template opens in a 'Custom deployment' blade.</w:t>
      </w:r>
    </w:p>
    <w:p>
      <w:pPr>
        <w:pStyle w:val="ListNumber"/>
      </w:pPr>
      <w:r>
        <w:rPr>
          <w:rFonts w:ascii="Calibri" w:hAnsi="Calibri"/>
          <w:color w:val="1B2A4A"/>
          <w:sz w:val="22"/>
        </w:rPr>
        <w:t>Fill in the four parameters: CLMS IP/FQDN, Project Key, Tag Filter (default cloudlens=yes), and Resource Group for the runner.</w:t>
      </w:r>
    </w:p>
    <w:p>
      <w:pPr>
        <w:pStyle w:val="ListNumber"/>
      </w:pPr>
      <w:r>
        <w:rPr>
          <w:rFonts w:ascii="Calibri" w:hAnsi="Calibri"/>
          <w:color w:val="1B2A4A"/>
          <w:sz w:val="22"/>
        </w:rPr>
        <w:t>Review + Create. Azure provisions the runner VM (~2 minutes).</w:t>
      </w:r>
    </w:p>
    <w:p>
      <w:pPr>
        <w:pStyle w:val="ListNumber"/>
      </w:pPr>
      <w:r>
        <w:rPr>
          <w:rFonts w:ascii="Calibri" w:hAnsi="Calibri"/>
          <w:color w:val="1B2A4A"/>
          <w:sz w:val="22"/>
        </w:rPr>
        <w:t>Watch the runner's boot diagnostics log. Every tagged VM is sensored in parallel.</w:t>
      </w:r>
    </w:p>
    <w:p>
      <w:pPr>
        <w:pStyle w:val="ListNumber"/>
      </w:pPr>
      <w:r>
        <w:rPr>
          <w:rFonts w:ascii="Calibri" w:hAnsi="Calibri"/>
          <w:color w:val="1B2A4A"/>
          <w:sz w:val="22"/>
        </w:rPr>
        <w:t>Runner self-destructs after 1 hour. Confirm sensors in CLMS → Sensors page.</w:t>
      </w:r>
    </w:p>
    <w:p>
      <w:pPr>
        <w:jc w:val="center"/>
      </w:pPr>
      <w:r>
        <w:rPr>
          <w:rFonts w:ascii="Calibri" w:hAnsi="Calibri"/>
          <w:b w:val="0"/>
          <w:i/>
          <w:color w:val="556575"/>
          <w:sz w:val="20"/>
        </w:rPr>
        <w:t>[Screenshot placeholder: Azure Portal Deploy blade]</w:t>
      </w:r>
    </w:p>
    <w:tbl>
      <w:tblPr>
        <w:tblW w:type="auto" w:w="0"/>
        <w:tblLayout w:type="autofit"/>
        <w:tblLook w:firstColumn="1" w:firstRow="1" w:lastColumn="0" w:lastRow="0" w:noHBand="0" w:noVBand="1" w:val="04A0"/>
      </w:tblPr>
      <w:tblGrid>
        <w:gridCol w:w="9648"/>
      </w:tblGrid>
      <w:tr>
        <w:tc>
          <w:tcPr>
            <w:tcW w:type="dxa" w:w="9648"/>
            <w:shd w:val="clear" w:color="auto" w:fill="DDEBF7"/>
            <w:tcBorders>
              <w:top w:val="single" w:sz="6" w:space="0" w:color="0078D4"/>
              <w:left w:val="single" w:sz="6" w:space="0" w:color="0078D4"/>
              <w:bottom w:val="single" w:sz="6" w:space="0" w:color="0078D4"/>
              <w:right w:val="single" w:sz="6" w:space="0" w:color="0078D4"/>
            </w:tcBorders>
          </w:tcPr>
          <w:p>
            <w:pPr>
              <w:spacing w:after="40"/>
            </w:pPr>
            <w:r>
              <w:rPr>
                <w:rFonts w:ascii="Calibri" w:hAnsi="Calibri"/>
                <w:b/>
                <w:color w:val="005A9E"/>
                <w:sz w:val="21"/>
              </w:rPr>
              <w:t>Expected outcome</w:t>
            </w:r>
          </w:p>
          <w:p>
            <w:r>
              <w:rPr>
                <w:rFonts w:ascii="Calibri" w:hAnsi="Calibri"/>
                <w:color w:val="1B2A4A"/>
                <w:sz w:val="21"/>
              </w:rPr>
              <w:t>Tagged VMs appear in CLMS → Sensors within 8 minutes. Runner VM is destroyed automatically. No artefacts left on the customer's laptop.</w:t>
            </w:r>
          </w:p>
        </w:tc>
      </w:tr>
    </w:tbl>
    <w:p/>
    <w:p>
      <w:pPr>
        <w:pStyle w:val="Heading2"/>
      </w:pPr>
      <w:r>
        <w:t>5.2  Tier 2: Azure Cloud Shell</w:t>
      </w:r>
    </w:p>
    <w:p>
      <w:r>
        <w:rPr>
          <w:rFonts w:ascii="Calibri" w:hAnsi="Calibri"/>
          <w:b w:val="0"/>
          <w:i w:val="0"/>
          <w:sz w:val="22"/>
        </w:rPr>
        <w:t>Best when the customer is already logged into Azure in a browser tab. Cloud Shell is pre-authenticated, so there is no Service Principal to create and no local install.</w:t>
      </w:r>
    </w:p>
    <w:p>
      <w:pPr>
        <w:pStyle w:val="ListNumber"/>
      </w:pPr>
      <w:r>
        <w:rPr>
          <w:rFonts w:ascii="Calibri" w:hAnsi="Calibri"/>
          <w:color w:val="1B2A4A"/>
          <w:sz w:val="22"/>
        </w:rPr>
        <w:t>Open Azure Cloud Shell (shell.azure.com) and choose Bash.</w:t>
      </w:r>
    </w:p>
    <w:p>
      <w:pPr>
        <w:pStyle w:val="ListNumber"/>
      </w:pPr>
      <w:r>
        <w:rPr>
          <w:rFonts w:ascii="Calibri" w:hAnsi="Calibri"/>
          <w:color w:val="1B2A4A"/>
          <w:sz w:val="22"/>
        </w:rPr>
        <w:t>Run the quickstart bootstrap:</w:t>
      </w:r>
    </w:p>
    <w:p>
      <w:pPr>
        <w:pStyle w:val="ListNumber"/>
      </w:pPr>
      <w:r>
        <w:rPr>
          <w:rFonts w:ascii="Calibri" w:hAnsi="Calibri"/>
          <w:color w:val="1B2A4A"/>
          <w:sz w:val="22"/>
        </w:rPr>
        <w:t>Answer the wizard prompts: CLMS IP, Project Key, tag filter, connection mode.</w:t>
      </w:r>
    </w:p>
    <w:p>
      <w:pPr>
        <w:pStyle w:val="ListNumber"/>
      </w:pPr>
      <w:r>
        <w:rPr>
          <w:rFonts w:ascii="Calibri" w:hAnsi="Calibri"/>
          <w:color w:val="1B2A4A"/>
          <w:sz w:val="22"/>
        </w:rPr>
        <w:t>Confirm sensors in CLMS → Sensors page (~8 min for a small environment).</w:t>
      </w:r>
    </w:p>
    <w:p>
      <w:pPr>
        <w:spacing w:before="80" w:after="160"/>
        <w:ind w:left="216"/>
        <w:shd w:val="clear" w:color="auto" w:fill="F2F2F2"/>
      </w:pPr>
      <w:r>
        <w:rPr>
          <w:rFonts w:ascii="Courier New" w:hAnsi="Courier New"/>
          <w:color w:val="1B2A4A"/>
          <w:sz w:val="19"/>
        </w:rPr>
        <w:t>curl -sSL https://raw.githubusercontent.com/Keysight-Tech/cloudlens-ansible-azure/main/quickstart.sh | bash</w:t>
      </w:r>
    </w:p>
    <w:tbl>
      <w:tblPr>
        <w:tblW w:type="auto" w:w="0"/>
        <w:tblLayout w:type="autofit"/>
        <w:tblLook w:firstColumn="1" w:firstRow="1" w:lastColumn="0" w:lastRow="0" w:noHBand="0" w:noVBand="1" w:val="04A0"/>
      </w:tblPr>
      <w:tblGrid>
        <w:gridCol w:w="9648"/>
      </w:tblGrid>
      <w:tr>
        <w:tc>
          <w:tcPr>
            <w:tcW w:type="dxa" w:w="9648"/>
            <w:shd w:val="clear" w:color="auto" w:fill="DDEBF7"/>
            <w:tcBorders>
              <w:top w:val="single" w:sz="6" w:space="0" w:color="0078D4"/>
              <w:left w:val="single" w:sz="6" w:space="0" w:color="0078D4"/>
              <w:bottom w:val="single" w:sz="6" w:space="0" w:color="0078D4"/>
              <w:right w:val="single" w:sz="6" w:space="0" w:color="0078D4"/>
            </w:tcBorders>
          </w:tcPr>
          <w:p>
            <w:pPr>
              <w:spacing w:after="40"/>
            </w:pPr>
            <w:r>
              <w:rPr>
                <w:rFonts w:ascii="Calibri" w:hAnsi="Calibri"/>
                <w:b/>
                <w:color w:val="005A9E"/>
                <w:sz w:val="21"/>
              </w:rPr>
              <w:t>Expected outcome</w:t>
            </w:r>
          </w:p>
          <w:p>
            <w:r>
              <w:rPr>
                <w:rFonts w:ascii="Calibri" w:hAnsi="Calibri"/>
                <w:color w:val="1B2A4A"/>
                <w:sz w:val="21"/>
              </w:rPr>
              <w:t>Wizard discovers tagged VMs, auto-tunes Ansible forks, deploys sensors, and prints a 3/3 success summary. All state lives in your Cloud Shell home directory, with nothing installed locally.</w:t>
            </w:r>
          </w:p>
        </w:tc>
      </w:tr>
    </w:tbl>
    <w:p/>
    <w:p>
      <w:pPr>
        <w:pStyle w:val="Heading2"/>
      </w:pPr>
      <w:r>
        <w:t>5.3  Tier 3: Docker (laptop or CI/CD)</w:t>
      </w:r>
    </w:p>
    <w:p>
      <w:r>
        <w:rPr>
          <w:rFonts w:ascii="Calibri" w:hAnsi="Calibri"/>
          <w:b w:val="0"/>
          <w:i w:val="0"/>
          <w:sz w:val="22"/>
        </w:rPr>
        <w:t>Best for repeatable runs from a developer laptop, a CI pipeline, or any container host. Every build is tagged main-&lt;sha&gt;; pin one in CI and every run uses exactly the same image on macOS, Windows, Linux, GitHub Actions, GitLab CI and Jenkins.</w:t>
      </w:r>
    </w:p>
    <w:p>
      <w:pPr>
        <w:pStyle w:val="ListNumber"/>
      </w:pPr>
      <w:r>
        <w:rPr>
          <w:rFonts w:ascii="Calibri" w:hAnsi="Calibri"/>
          <w:color w:val="1B2A4A"/>
          <w:sz w:val="22"/>
        </w:rPr>
        <w:t>Create a Service Principal with `bash scripts/setup_azure_sp.sh` (one-time).</w:t>
      </w:r>
    </w:p>
    <w:p>
      <w:pPr>
        <w:pStyle w:val="ListNumber"/>
      </w:pPr>
      <w:r>
        <w:rPr>
          <w:rFonts w:ascii="Calibri" w:hAnsi="Calibri"/>
          <w:color w:val="1B2A4A"/>
          <w:sz w:val="22"/>
        </w:rPr>
        <w:t>Copy customer_input.yaml.example to customer_input.yaml and fill in your vController address, project key, and tag filter.</w:t>
      </w:r>
    </w:p>
    <w:p>
      <w:pPr>
        <w:pStyle w:val="ListNumber"/>
      </w:pPr>
      <w:r>
        <w:rPr>
          <w:rFonts w:ascii="Calibri" w:hAnsi="Calibri"/>
          <w:color w:val="1B2A4A"/>
          <w:sz w:val="22"/>
        </w:rPr>
        <w:t>For Windows VMs, put the installer from vController in files/ next to customer_input.yaml.</w:t>
      </w:r>
    </w:p>
    <w:p>
      <w:pPr>
        <w:pStyle w:val="ListNumber"/>
      </w:pPr>
      <w:r>
        <w:rPr>
          <w:rFonts w:ascii="Calibri" w:hAnsi="Calibri"/>
          <w:color w:val="1B2A4A"/>
          <w:sz w:val="22"/>
        </w:rPr>
        <w:t>Export AZURE_SUBSCRIPTION_ID, AZURE_TENANT, AZURE_CLIENT_ID, AZURE_SECRET, ANSIBLE_WINRM_PASSWORD as env vars.</w:t>
      </w:r>
    </w:p>
    <w:p>
      <w:pPr>
        <w:pStyle w:val="ListNumber"/>
      </w:pPr>
      <w:r>
        <w:rPr>
          <w:rFonts w:ascii="Calibri" w:hAnsi="Calibri"/>
          <w:color w:val="1B2A4A"/>
          <w:sz w:val="22"/>
        </w:rPr>
        <w:t>Run the container from that folder (in CI, drop -it and pin a main-&lt;sha&gt; tag):</w:t>
      </w:r>
    </w:p>
    <w:p>
      <w:pPr>
        <w:spacing w:before="80" w:after="160"/>
        <w:ind w:left="216"/>
        <w:shd w:val="clear" w:color="auto" w:fill="F2F2F2"/>
      </w:pPr>
      <w:r>
        <w:rPr>
          <w:rFonts w:ascii="Courier New" w:hAnsi="Courier New"/>
          <w:color w:val="1B2A4A"/>
          <w:sz w:val="19"/>
        </w:rPr>
        <w:t>docker run --rm -it --platform linux/amd64 \</w:t>
        <w:br/>
        <w:t xml:space="preserve">  -v "$(pwd)/customer_input.yaml:/work/customer_input.yaml:ro" \</w:t>
        <w:br/>
        <w:t xml:space="preserve">  -v "$(pwd)/files:/work/files:ro" \</w:t>
        <w:br/>
        <w:t xml:space="preserve">  -v "$HOME/.ssh/id_rsa:/root/.ssh/id_rsa:ro" \</w:t>
        <w:br/>
        <w:t xml:space="preserve">  -e AZURE_SUBSCRIPTION_ID -e AZURE_TENANT \</w:t>
        <w:br/>
        <w:t xml:space="preserve">  -e AZURE_CLIENT_ID -e AZURE_SECRET \</w:t>
        <w:br/>
        <w:t xml:space="preserve">  -e ANSIBLE_WINRM_PASSWORD \</w:t>
        <w:br/>
        <w:t xml:space="preserve">  ghcr.io/keysight-tech/cloudlens-ansible-azure:latest</w:t>
      </w:r>
    </w:p>
    <w:tbl>
      <w:tblPr>
        <w:tblW w:type="auto" w:w="0"/>
        <w:tblLayout w:type="autofit"/>
        <w:tblLook w:firstColumn="1" w:firstRow="1" w:lastColumn="0" w:lastRow="0" w:noHBand="0" w:noVBand="1" w:val="04A0"/>
      </w:tblPr>
      <w:tblGrid>
        <w:gridCol w:w="9648"/>
      </w:tblGrid>
      <w:tr>
        <w:tc>
          <w:tcPr>
            <w:tcW w:type="dxa" w:w="9648"/>
            <w:shd w:val="clear" w:color="auto" w:fill="DDEBF7"/>
            <w:tcBorders>
              <w:top w:val="single" w:sz="6" w:space="0" w:color="0078D4"/>
              <w:left w:val="single" w:sz="6" w:space="0" w:color="0078D4"/>
              <w:bottom w:val="single" w:sz="6" w:space="0" w:color="0078D4"/>
              <w:right w:val="single" w:sz="6" w:space="0" w:color="0078D4"/>
            </w:tcBorders>
          </w:tcPr>
          <w:p>
            <w:pPr>
              <w:spacing w:after="40"/>
            </w:pPr>
            <w:r>
              <w:rPr>
                <w:rFonts w:ascii="Calibri" w:hAnsi="Calibri"/>
                <w:b/>
                <w:color w:val="005A9E"/>
                <w:sz w:val="21"/>
              </w:rPr>
              <w:t>Expected outcome</w:t>
            </w:r>
          </w:p>
          <w:p>
            <w:r>
              <w:rPr>
                <w:rFonts w:ascii="Calibri" w:hAnsi="Calibri"/>
                <w:color w:val="1B2A4A"/>
                <w:sz w:val="21"/>
              </w:rPr>
              <w:t>Ansible prints a PLAY RECAP line per VM and the container exits 0. It exits non-zero when the Azure login fails, when no VM matches the tags, or when any host fails, so a CI job cannot pass having deployed nothing.</w:t>
            </w:r>
          </w:p>
        </w:tc>
      </w:tr>
    </w:tbl>
    <w:p/>
    <w:p>
      <w:r>
        <w:br w:type="page"/>
      </w:r>
    </w:p>
    <w:p>
      <w:pPr>
        <w:pStyle w:val="Heading1"/>
      </w:pPr>
      <w:r>
        <w:t>6. Supported VM Scenarios</w:t>
      </w:r>
    </w:p>
    <w:p>
      <w:pPr>
        <w:jc w:val="center"/>
      </w:pPr>
      <w:r>
        <w:drawing>
          <wp:inline xmlns:a="http://schemas.openxmlformats.org/drawingml/2006/main" xmlns:pic="http://schemas.openxmlformats.org/drawingml/2006/picture">
            <wp:extent cx="5943600" cy="3963638"/>
            <wp:docPr id="3" name="Picture 3"/>
            <wp:cNvGraphicFramePr>
              <a:graphicFrameLocks noChangeAspect="1"/>
            </wp:cNvGraphicFramePr>
            <a:graphic>
              <a:graphicData uri="http://schemas.openxmlformats.org/drawingml/2006/picture">
                <pic:pic>
                  <pic:nvPicPr>
                    <pic:cNvPr id="0" name="scenario-matrix.png"/>
                    <pic:cNvPicPr/>
                  </pic:nvPicPr>
                  <pic:blipFill>
                    <a:blip r:embed="rId13"/>
                    <a:stretch>
                      <a:fillRect/>
                    </a:stretch>
                  </pic:blipFill>
                  <pic:spPr>
                    <a:xfrm>
                      <a:off x="0" y="0"/>
                      <a:ext cx="5943600" cy="3963638"/>
                    </a:xfrm>
                    <a:prstGeom prst="rect"/>
                  </pic:spPr>
                </pic:pic>
              </a:graphicData>
            </a:graphic>
          </wp:inline>
        </w:drawing>
      </w:r>
    </w:p>
    <w:p>
      <w:pPr>
        <w:jc w:val="center"/>
      </w:pPr>
      <w:r>
        <w:rPr>
          <w:i/>
          <w:color w:val="556575"/>
          <w:sz w:val="19"/>
        </w:rPr>
        <w:t>Figure 3: VM compatibility matrix (OS × topology × auth method)</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3456"/>
            <w:shd w:val="clear" w:color="auto" w:fill="0078D4"/>
            <w:vAlign w:val="center"/>
          </w:tcPr>
          <w:p>
            <w:pPr>
              <w:spacing w:after="40"/>
              <w:jc w:val="left"/>
            </w:pPr>
            <w:r>
              <w:rPr>
                <w:rFonts w:ascii="Calibri" w:hAnsi="Calibri"/>
                <w:b/>
                <w:color w:val="FFFFFF"/>
                <w:sz w:val="21"/>
              </w:rPr>
              <w:t>OS / Topology</w:t>
            </w:r>
          </w:p>
        </w:tc>
        <w:tc>
          <w:tcPr>
            <w:tcW w:type="dxa" w:w="1728"/>
            <w:shd w:val="clear" w:color="auto" w:fill="0078D4"/>
            <w:vAlign w:val="center"/>
          </w:tcPr>
          <w:p>
            <w:pPr>
              <w:spacing w:after="40"/>
              <w:jc w:val="left"/>
            </w:pPr>
            <w:r>
              <w:rPr>
                <w:rFonts w:ascii="Calibri" w:hAnsi="Calibri"/>
                <w:b/>
                <w:color w:val="FFFFFF"/>
                <w:sz w:val="21"/>
              </w:rPr>
              <w:t>Public IP direct</w:t>
            </w:r>
          </w:p>
        </w:tc>
        <w:tc>
          <w:tcPr>
            <w:tcW w:type="dxa" w:w="1872"/>
            <w:shd w:val="clear" w:color="auto" w:fill="0078D4"/>
            <w:vAlign w:val="center"/>
          </w:tcPr>
          <w:p>
            <w:pPr>
              <w:spacing w:after="40"/>
              <w:jc w:val="left"/>
            </w:pPr>
            <w:r>
              <w:rPr>
                <w:rFonts w:ascii="Calibri" w:hAnsi="Calibri"/>
                <w:b/>
                <w:color w:val="FFFFFF"/>
                <w:sz w:val="21"/>
              </w:rPr>
              <w:t>Private + Jumpbox</w:t>
            </w:r>
          </w:p>
        </w:tc>
        <w:tc>
          <w:tcPr>
            <w:tcW w:type="dxa" w:w="1440"/>
            <w:shd w:val="clear" w:color="auto" w:fill="0078D4"/>
            <w:vAlign w:val="center"/>
          </w:tcPr>
          <w:p>
            <w:pPr>
              <w:spacing w:after="40"/>
              <w:jc w:val="left"/>
            </w:pPr>
            <w:r>
              <w:rPr>
                <w:rFonts w:ascii="Calibri" w:hAnsi="Calibri"/>
                <w:b/>
                <w:color w:val="FFFFFF"/>
                <w:sz w:val="21"/>
              </w:rPr>
              <w:t>Azure Bastion</w:t>
            </w:r>
          </w:p>
        </w:tc>
        <w:tc>
          <w:tcPr>
            <w:tcW w:type="dxa" w:w="1584"/>
            <w:shd w:val="clear" w:color="auto" w:fill="0078D4"/>
            <w:vAlign w:val="center"/>
          </w:tcPr>
          <w:p>
            <w:pPr>
              <w:spacing w:after="40"/>
              <w:jc w:val="left"/>
            </w:pPr>
            <w:r>
              <w:rPr>
                <w:rFonts w:ascii="Calibri" w:hAnsi="Calibri"/>
                <w:b/>
                <w:color w:val="FFFFFF"/>
                <w:sz w:val="21"/>
              </w:rPr>
              <w:t>Cloud Shell</w:t>
            </w:r>
          </w:p>
        </w:tc>
      </w:tr>
      <w:tr>
        <w:tc>
          <w:tcPr>
            <w:tcW w:type="dxa" w:w="3456"/>
            <w:vAlign w:val="center"/>
            <w:shd w:val="clear" w:color="auto" w:fill="F4F8FB"/>
          </w:tcPr>
          <w:p>
            <w:pPr>
              <w:spacing w:after="40"/>
            </w:pPr>
            <w:r>
              <w:rPr>
                <w:rFonts w:ascii="Calibri" w:hAnsi="Calibri"/>
                <w:color w:val="1B2A4A"/>
                <w:sz w:val="20"/>
              </w:rPr>
              <w:t>Ubuntu 20.04 / 22.04 / 24.04</w:t>
            </w:r>
          </w:p>
        </w:tc>
        <w:tc>
          <w:tcPr>
            <w:tcW w:type="dxa" w:w="1728"/>
            <w:vAlign w:val="center"/>
            <w:shd w:val="clear" w:color="auto" w:fill="F4F8FB"/>
          </w:tcPr>
          <w:p>
            <w:pPr>
              <w:spacing w:after="40"/>
            </w:pPr>
            <w:r>
              <w:rPr>
                <w:rFonts w:ascii="Calibri" w:hAnsi="Calibri"/>
                <w:color w:val="1B2A4A"/>
                <w:sz w:val="20"/>
              </w:rPr>
              <w:t>Supported</w:t>
            </w:r>
          </w:p>
        </w:tc>
        <w:tc>
          <w:tcPr>
            <w:tcW w:type="dxa" w:w="1872"/>
            <w:vAlign w:val="center"/>
            <w:shd w:val="clear" w:color="auto" w:fill="F4F8FB"/>
          </w:tcPr>
          <w:p>
            <w:pPr>
              <w:spacing w:after="40"/>
            </w:pPr>
            <w:r>
              <w:rPr>
                <w:rFonts w:ascii="Calibri" w:hAnsi="Calibri"/>
                <w:color w:val="1B2A4A"/>
                <w:sz w:val="20"/>
              </w:rPr>
              <w:t>Supported</w:t>
            </w:r>
          </w:p>
        </w:tc>
        <w:tc>
          <w:tcPr>
            <w:tcW w:type="dxa" w:w="1440"/>
            <w:vAlign w:val="center"/>
            <w:shd w:val="clear" w:color="auto" w:fill="F4F8FB"/>
          </w:tcPr>
          <w:p>
            <w:pPr>
              <w:spacing w:after="40"/>
            </w:pPr>
            <w:r>
              <w:rPr>
                <w:rFonts w:ascii="Calibri" w:hAnsi="Calibri"/>
                <w:color w:val="1B2A4A"/>
                <w:sz w:val="20"/>
              </w:rPr>
              <w:t>Supported</w:t>
            </w:r>
          </w:p>
        </w:tc>
        <w:tc>
          <w:tcPr>
            <w:tcW w:type="dxa" w:w="1584"/>
            <w:vAlign w:val="center"/>
            <w:shd w:val="clear" w:color="auto" w:fill="F4F8FB"/>
          </w:tcPr>
          <w:p>
            <w:pPr>
              <w:spacing w:after="40"/>
            </w:pPr>
            <w:r>
              <w:rPr>
                <w:rFonts w:ascii="Calibri" w:hAnsi="Calibri"/>
                <w:color w:val="1B2A4A"/>
                <w:sz w:val="20"/>
              </w:rPr>
              <w:t>Supported</w:t>
            </w:r>
          </w:p>
        </w:tc>
      </w:tr>
      <w:tr>
        <w:tc>
          <w:tcPr>
            <w:tcW w:type="dxa" w:w="3456"/>
            <w:vAlign w:val="center"/>
          </w:tcPr>
          <w:p>
            <w:pPr>
              <w:spacing w:after="40"/>
            </w:pPr>
            <w:r>
              <w:rPr>
                <w:rFonts w:ascii="Calibri" w:hAnsi="Calibri"/>
                <w:color w:val="1B2A4A"/>
                <w:sz w:val="20"/>
              </w:rPr>
              <w:t>RHEL 7 / 8 / 9</w:t>
            </w:r>
          </w:p>
        </w:tc>
        <w:tc>
          <w:tcPr>
            <w:tcW w:type="dxa" w:w="1728"/>
            <w:vAlign w:val="center"/>
          </w:tcPr>
          <w:p>
            <w:pPr>
              <w:spacing w:after="40"/>
            </w:pPr>
            <w:r>
              <w:rPr>
                <w:rFonts w:ascii="Calibri" w:hAnsi="Calibri"/>
                <w:color w:val="1B2A4A"/>
                <w:sz w:val="20"/>
              </w:rPr>
              <w:t>Supported</w:t>
            </w:r>
          </w:p>
        </w:tc>
        <w:tc>
          <w:tcPr>
            <w:tcW w:type="dxa" w:w="1872"/>
            <w:vAlign w:val="center"/>
          </w:tcPr>
          <w:p>
            <w:pPr>
              <w:spacing w:after="40"/>
            </w:pPr>
            <w:r>
              <w:rPr>
                <w:rFonts w:ascii="Calibri" w:hAnsi="Calibri"/>
                <w:color w:val="1B2A4A"/>
                <w:sz w:val="20"/>
              </w:rPr>
              <w:t>Supported</w:t>
            </w:r>
          </w:p>
        </w:tc>
        <w:tc>
          <w:tcPr>
            <w:tcW w:type="dxa" w:w="1440"/>
            <w:vAlign w:val="center"/>
          </w:tcPr>
          <w:p>
            <w:pPr>
              <w:spacing w:after="40"/>
            </w:pPr>
            <w:r>
              <w:rPr>
                <w:rFonts w:ascii="Calibri" w:hAnsi="Calibri"/>
                <w:color w:val="1B2A4A"/>
                <w:sz w:val="20"/>
              </w:rPr>
              <w:t>Supported</w:t>
            </w:r>
          </w:p>
        </w:tc>
        <w:tc>
          <w:tcPr>
            <w:tcW w:type="dxa" w:w="1584"/>
            <w:vAlign w:val="center"/>
          </w:tcPr>
          <w:p>
            <w:pPr>
              <w:spacing w:after="40"/>
            </w:pPr>
            <w:r>
              <w:rPr>
                <w:rFonts w:ascii="Calibri" w:hAnsi="Calibri"/>
                <w:color w:val="1B2A4A"/>
                <w:sz w:val="20"/>
              </w:rPr>
              <w:t>Supported</w:t>
            </w:r>
          </w:p>
        </w:tc>
      </w:tr>
      <w:tr>
        <w:tc>
          <w:tcPr>
            <w:tcW w:type="dxa" w:w="3456"/>
            <w:vAlign w:val="center"/>
            <w:shd w:val="clear" w:color="auto" w:fill="F4F8FB"/>
          </w:tcPr>
          <w:p>
            <w:pPr>
              <w:spacing w:after="40"/>
            </w:pPr>
            <w:r>
              <w:rPr>
                <w:rFonts w:ascii="Calibri" w:hAnsi="Calibri"/>
                <w:color w:val="1B2A4A"/>
                <w:sz w:val="20"/>
              </w:rPr>
              <w:t>CentOS / Rocky / AlmaLinux</w:t>
            </w:r>
          </w:p>
        </w:tc>
        <w:tc>
          <w:tcPr>
            <w:tcW w:type="dxa" w:w="1728"/>
            <w:vAlign w:val="center"/>
            <w:shd w:val="clear" w:color="auto" w:fill="F4F8FB"/>
          </w:tcPr>
          <w:p>
            <w:pPr>
              <w:spacing w:after="40"/>
            </w:pPr>
            <w:r>
              <w:rPr>
                <w:rFonts w:ascii="Calibri" w:hAnsi="Calibri"/>
                <w:color w:val="1B2A4A"/>
                <w:sz w:val="20"/>
              </w:rPr>
              <w:t>Supported</w:t>
            </w:r>
          </w:p>
        </w:tc>
        <w:tc>
          <w:tcPr>
            <w:tcW w:type="dxa" w:w="1872"/>
            <w:vAlign w:val="center"/>
            <w:shd w:val="clear" w:color="auto" w:fill="F4F8FB"/>
          </w:tcPr>
          <w:p>
            <w:pPr>
              <w:spacing w:after="40"/>
            </w:pPr>
            <w:r>
              <w:rPr>
                <w:rFonts w:ascii="Calibri" w:hAnsi="Calibri"/>
                <w:color w:val="1B2A4A"/>
                <w:sz w:val="20"/>
              </w:rPr>
              <w:t>Supported</w:t>
            </w:r>
          </w:p>
        </w:tc>
        <w:tc>
          <w:tcPr>
            <w:tcW w:type="dxa" w:w="1440"/>
            <w:vAlign w:val="center"/>
            <w:shd w:val="clear" w:color="auto" w:fill="F4F8FB"/>
          </w:tcPr>
          <w:p>
            <w:pPr>
              <w:spacing w:after="40"/>
            </w:pPr>
            <w:r>
              <w:rPr>
                <w:rFonts w:ascii="Calibri" w:hAnsi="Calibri"/>
                <w:color w:val="1B2A4A"/>
                <w:sz w:val="20"/>
              </w:rPr>
              <w:t>Supported</w:t>
            </w:r>
          </w:p>
        </w:tc>
        <w:tc>
          <w:tcPr>
            <w:tcW w:type="dxa" w:w="1584"/>
            <w:vAlign w:val="center"/>
            <w:shd w:val="clear" w:color="auto" w:fill="F4F8FB"/>
          </w:tcPr>
          <w:p>
            <w:pPr>
              <w:spacing w:after="40"/>
            </w:pPr>
            <w:r>
              <w:rPr>
                <w:rFonts w:ascii="Calibri" w:hAnsi="Calibri"/>
                <w:color w:val="1B2A4A"/>
                <w:sz w:val="20"/>
              </w:rPr>
              <w:t>Supported</w:t>
            </w:r>
          </w:p>
        </w:tc>
      </w:tr>
      <w:tr>
        <w:tc>
          <w:tcPr>
            <w:tcW w:type="dxa" w:w="3456"/>
            <w:vAlign w:val="center"/>
          </w:tcPr>
          <w:p>
            <w:pPr>
              <w:spacing w:after="40"/>
            </w:pPr>
            <w:r>
              <w:rPr>
                <w:rFonts w:ascii="Calibri" w:hAnsi="Calibri"/>
                <w:color w:val="1B2A4A"/>
                <w:sz w:val="20"/>
              </w:rPr>
              <w:t>Windows Server 2019 / 2022</w:t>
            </w:r>
          </w:p>
        </w:tc>
        <w:tc>
          <w:tcPr>
            <w:tcW w:type="dxa" w:w="1728"/>
            <w:vAlign w:val="center"/>
          </w:tcPr>
          <w:p>
            <w:pPr>
              <w:spacing w:after="40"/>
            </w:pPr>
            <w:r>
              <w:rPr>
                <w:rFonts w:ascii="Calibri" w:hAnsi="Calibri"/>
                <w:color w:val="1B2A4A"/>
                <w:sz w:val="20"/>
              </w:rPr>
              <w:t>Supported</w:t>
            </w:r>
          </w:p>
        </w:tc>
        <w:tc>
          <w:tcPr>
            <w:tcW w:type="dxa" w:w="1872"/>
            <w:vAlign w:val="center"/>
          </w:tcPr>
          <w:p>
            <w:pPr>
              <w:spacing w:after="40"/>
            </w:pPr>
            <w:r>
              <w:rPr>
                <w:rFonts w:ascii="Calibri" w:hAnsi="Calibri"/>
                <w:color w:val="1B2A4A"/>
                <w:sz w:val="20"/>
              </w:rPr>
              <w:t>Planned</w:t>
            </w:r>
          </w:p>
        </w:tc>
        <w:tc>
          <w:tcPr>
            <w:tcW w:type="dxa" w:w="1440"/>
            <w:vAlign w:val="center"/>
          </w:tcPr>
          <w:p>
            <w:pPr>
              <w:spacing w:after="40"/>
            </w:pPr>
            <w:r>
              <w:rPr>
                <w:rFonts w:ascii="Calibri" w:hAnsi="Calibri"/>
                <w:color w:val="1B2A4A"/>
                <w:sz w:val="20"/>
              </w:rPr>
              <w:t>Planned</w:t>
            </w:r>
          </w:p>
        </w:tc>
        <w:tc>
          <w:tcPr>
            <w:tcW w:type="dxa" w:w="1584"/>
            <w:vAlign w:val="center"/>
          </w:tcPr>
          <w:p>
            <w:pPr>
              <w:spacing w:after="40"/>
            </w:pPr>
            <w:r>
              <w:rPr>
                <w:rFonts w:ascii="Calibri" w:hAnsi="Calibri"/>
                <w:color w:val="1B2A4A"/>
                <w:sz w:val="20"/>
              </w:rPr>
              <w:t>Supported</w:t>
            </w:r>
          </w:p>
        </w:tc>
      </w:tr>
    </w:tbl>
    <w:p/>
    <w:p>
      <w:r>
        <w:br w:type="page"/>
      </w:r>
    </w:p>
    <w:p>
      <w:pPr>
        <w:pStyle w:val="Heading1"/>
      </w:pPr>
      <w:r>
        <w:t>7. Verification Checklist (Printable)</w:t>
      </w:r>
    </w:p>
    <w:p>
      <w:r>
        <w:rPr>
          <w:rFonts w:ascii="Calibri" w:hAnsi="Calibri"/>
          <w:b w:val="0"/>
          <w:i w:val="0"/>
          <w:sz w:val="22"/>
        </w:rPr>
        <w:t>After every deployment, walk this list. If any item fails, jump to section 9 (Troubleshooting Reference).</w:t>
      </w:r>
    </w:p>
    <w:p>
      <w:pPr>
        <w:spacing w:after="80"/>
        <w:ind w:left="144"/>
      </w:pPr>
      <w:r>
        <w:rPr>
          <w:rFonts w:ascii="Segoe UI Symbol" w:hAnsi="Segoe UI Symbol"/>
          <w:color w:val="005A9E"/>
          <w:sz w:val="26"/>
        </w:rPr>
        <w:t xml:space="preserve">☐  </w:t>
      </w:r>
      <w:r>
        <w:rPr>
          <w:rFonts w:ascii="Calibri" w:hAnsi="Calibri"/>
          <w:color w:val="1B2A4A"/>
          <w:sz w:val="22"/>
        </w:rPr>
        <w:t>All sensors visible in CLMS → Sensors page</w:t>
      </w:r>
    </w:p>
    <w:p>
      <w:pPr>
        <w:spacing w:after="80"/>
        <w:ind w:left="144"/>
      </w:pPr>
      <w:r>
        <w:rPr>
          <w:rFonts w:ascii="Segoe UI Symbol" w:hAnsi="Segoe UI Symbol"/>
          <w:color w:val="005A9E"/>
          <w:sz w:val="26"/>
        </w:rPr>
        <w:t xml:space="preserve">☐  </w:t>
      </w:r>
      <w:r>
        <w:rPr>
          <w:rFonts w:ascii="Calibri" w:hAnsi="Calibri"/>
          <w:color w:val="1B2A4A"/>
          <w:sz w:val="22"/>
        </w:rPr>
        <w:t>Filter by custom_tags (e.g. Customer=Acme) returns the expected VMs</w:t>
      </w:r>
    </w:p>
    <w:p>
      <w:pPr>
        <w:spacing w:after="80"/>
        <w:ind w:left="144"/>
      </w:pPr>
      <w:r>
        <w:rPr>
          <w:rFonts w:ascii="Segoe UI Symbol" w:hAnsi="Segoe UI Symbol"/>
          <w:color w:val="005A9E"/>
          <w:sz w:val="26"/>
        </w:rPr>
        <w:t xml:space="preserve">☐  </w:t>
      </w:r>
      <w:r>
        <w:rPr>
          <w:rFonts w:ascii="Calibri" w:hAnsi="Calibri"/>
          <w:color w:val="1B2A4A"/>
          <w:sz w:val="22"/>
        </w:rPr>
        <w:t>Test traffic from a sensored VM shows up in the destination tool/probe</w:t>
      </w:r>
    </w:p>
    <w:p>
      <w:pPr>
        <w:spacing w:after="80"/>
        <w:ind w:left="144"/>
      </w:pPr>
      <w:r>
        <w:rPr>
          <w:rFonts w:ascii="Segoe UI Symbol" w:hAnsi="Segoe UI Symbol"/>
          <w:color w:val="005A9E"/>
          <w:sz w:val="26"/>
        </w:rPr>
        <w:t xml:space="preserve">☐  </w:t>
      </w:r>
      <w:r>
        <w:rPr>
          <w:rFonts w:ascii="Calibri" w:hAnsi="Calibri"/>
          <w:color w:val="1B2A4A"/>
          <w:sz w:val="22"/>
        </w:rPr>
        <w:t>Container logs show no errors (Linux): `docker logs cloudlens-agent`</w:t>
      </w:r>
    </w:p>
    <w:p>
      <w:pPr>
        <w:spacing w:after="80"/>
        <w:ind w:left="144"/>
      </w:pPr>
      <w:r>
        <w:rPr>
          <w:rFonts w:ascii="Segoe UI Symbol" w:hAnsi="Segoe UI Symbol"/>
          <w:color w:val="005A9E"/>
          <w:sz w:val="26"/>
        </w:rPr>
        <w:t xml:space="preserve">☐  </w:t>
      </w:r>
      <w:r>
        <w:rPr>
          <w:rFonts w:ascii="Calibri" w:hAnsi="Calibri"/>
          <w:color w:val="1B2A4A"/>
          <w:sz w:val="22"/>
        </w:rPr>
        <w:t>CloudLens service running (Windows): `Get-Service CloudLensAgent`</w:t>
      </w:r>
    </w:p>
    <w:p>
      <w:r>
        <w:br w:type="page"/>
      </w:r>
    </w:p>
    <w:p>
      <w:pPr>
        <w:pStyle w:val="Heading1"/>
      </w:pPr>
      <w:r>
        <w:t>8. Scaling Guide</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016"/>
            <w:shd w:val="clear" w:color="auto" w:fill="0078D4"/>
            <w:vAlign w:val="center"/>
          </w:tcPr>
          <w:p>
            <w:pPr>
              <w:spacing w:after="40"/>
              <w:jc w:val="left"/>
            </w:pPr>
            <w:r>
              <w:rPr>
                <w:rFonts w:ascii="Calibri" w:hAnsi="Calibri"/>
                <w:b/>
                <w:color w:val="FFFFFF"/>
                <w:sz w:val="21"/>
              </w:rPr>
              <w:t>VM Count</w:t>
            </w:r>
          </w:p>
        </w:tc>
        <w:tc>
          <w:tcPr>
            <w:tcW w:type="dxa" w:w="2016"/>
            <w:shd w:val="clear" w:color="auto" w:fill="0078D4"/>
            <w:vAlign w:val="center"/>
          </w:tcPr>
          <w:p>
            <w:pPr>
              <w:spacing w:after="40"/>
              <w:jc w:val="left"/>
            </w:pPr>
            <w:r>
              <w:rPr>
                <w:rFonts w:ascii="Calibri" w:hAnsi="Calibri"/>
                <w:b/>
                <w:color w:val="FFFFFF"/>
                <w:sz w:val="21"/>
              </w:rPr>
              <w:t>Auto Forks</w:t>
            </w:r>
          </w:p>
        </w:tc>
        <w:tc>
          <w:tcPr>
            <w:tcW w:type="dxa" w:w="2304"/>
            <w:shd w:val="clear" w:color="auto" w:fill="0078D4"/>
            <w:vAlign w:val="center"/>
          </w:tcPr>
          <w:p>
            <w:pPr>
              <w:spacing w:after="40"/>
              <w:jc w:val="left"/>
            </w:pPr>
            <w:r>
              <w:rPr>
                <w:rFonts w:ascii="Calibri" w:hAnsi="Calibri"/>
                <w:b/>
                <w:color w:val="FFFFFF"/>
                <w:sz w:val="21"/>
              </w:rPr>
              <w:t>Sharded?</w:t>
            </w:r>
          </w:p>
        </w:tc>
        <w:tc>
          <w:tcPr>
            <w:tcW w:type="dxa" w:w="2304"/>
            <w:shd w:val="clear" w:color="auto" w:fill="0078D4"/>
            <w:vAlign w:val="center"/>
          </w:tcPr>
          <w:p>
            <w:pPr>
              <w:spacing w:after="40"/>
              <w:jc w:val="left"/>
            </w:pPr>
            <w:r>
              <w:rPr>
                <w:rFonts w:ascii="Calibri" w:hAnsi="Calibri"/>
                <w:b/>
                <w:color w:val="FFFFFF"/>
                <w:sz w:val="21"/>
              </w:rPr>
              <w:t>Approx Time</w:t>
            </w:r>
          </w:p>
        </w:tc>
      </w:tr>
      <w:tr>
        <w:tc>
          <w:tcPr>
            <w:tcW w:type="dxa" w:w="2016"/>
            <w:vAlign w:val="center"/>
            <w:shd w:val="clear" w:color="auto" w:fill="F4F8FB"/>
          </w:tcPr>
          <w:p>
            <w:pPr>
              <w:spacing w:after="40"/>
            </w:pPr>
            <w:r>
              <w:rPr>
                <w:rFonts w:ascii="Calibri" w:hAnsi="Calibri"/>
                <w:color w:val="1B2A4A"/>
                <w:sz w:val="20"/>
              </w:rPr>
              <w:t>1–50</w:t>
            </w:r>
          </w:p>
        </w:tc>
        <w:tc>
          <w:tcPr>
            <w:tcW w:type="dxa" w:w="2016"/>
            <w:vAlign w:val="center"/>
            <w:shd w:val="clear" w:color="auto" w:fill="F4F8FB"/>
          </w:tcPr>
          <w:p>
            <w:pPr>
              <w:spacing w:after="40"/>
            </w:pPr>
            <w:r>
              <w:rPr>
                <w:rFonts w:ascii="Calibri" w:hAnsi="Calibri"/>
                <w:color w:val="1B2A4A"/>
                <w:sz w:val="20"/>
              </w:rPr>
              <w:t>20</w:t>
            </w:r>
          </w:p>
        </w:tc>
        <w:tc>
          <w:tcPr>
            <w:tcW w:type="dxa" w:w="2304"/>
            <w:vAlign w:val="center"/>
            <w:shd w:val="clear" w:color="auto" w:fill="F4F8FB"/>
          </w:tcPr>
          <w:p>
            <w:pPr>
              <w:spacing w:after="40"/>
            </w:pPr>
            <w:r>
              <w:rPr>
                <w:rFonts w:ascii="Calibri" w:hAnsi="Calibri"/>
                <w:color w:val="1B2A4A"/>
                <w:sz w:val="20"/>
              </w:rPr>
              <w:t>No</w:t>
            </w:r>
          </w:p>
        </w:tc>
        <w:tc>
          <w:tcPr>
            <w:tcW w:type="dxa" w:w="2304"/>
            <w:vAlign w:val="center"/>
            <w:shd w:val="clear" w:color="auto" w:fill="F4F8FB"/>
          </w:tcPr>
          <w:p>
            <w:pPr>
              <w:spacing w:after="40"/>
            </w:pPr>
            <w:r>
              <w:rPr>
                <w:rFonts w:ascii="Calibri" w:hAnsi="Calibri"/>
                <w:color w:val="1B2A4A"/>
                <w:sz w:val="20"/>
              </w:rPr>
              <w:t>5–10 min</w:t>
            </w:r>
          </w:p>
        </w:tc>
      </w:tr>
      <w:tr>
        <w:tc>
          <w:tcPr>
            <w:tcW w:type="dxa" w:w="2016"/>
            <w:vAlign w:val="center"/>
          </w:tcPr>
          <w:p>
            <w:pPr>
              <w:spacing w:after="40"/>
            </w:pPr>
            <w:r>
              <w:rPr>
                <w:rFonts w:ascii="Calibri" w:hAnsi="Calibri"/>
                <w:color w:val="1B2A4A"/>
                <w:sz w:val="20"/>
              </w:rPr>
              <w:t>50–500</w:t>
            </w:r>
          </w:p>
        </w:tc>
        <w:tc>
          <w:tcPr>
            <w:tcW w:type="dxa" w:w="2016"/>
            <w:vAlign w:val="center"/>
          </w:tcPr>
          <w:p>
            <w:pPr>
              <w:spacing w:after="40"/>
            </w:pPr>
            <w:r>
              <w:rPr>
                <w:rFonts w:ascii="Calibri" w:hAnsi="Calibri"/>
                <w:color w:val="1B2A4A"/>
                <w:sz w:val="20"/>
              </w:rPr>
              <w:t>50</w:t>
            </w:r>
          </w:p>
        </w:tc>
        <w:tc>
          <w:tcPr>
            <w:tcW w:type="dxa" w:w="2304"/>
            <w:vAlign w:val="center"/>
          </w:tcPr>
          <w:p>
            <w:pPr>
              <w:spacing w:after="40"/>
            </w:pPr>
            <w:r>
              <w:rPr>
                <w:rFonts w:ascii="Calibri" w:hAnsi="Calibri"/>
                <w:color w:val="1B2A4A"/>
                <w:sz w:val="20"/>
              </w:rPr>
              <w:t>No</w:t>
            </w:r>
          </w:p>
        </w:tc>
        <w:tc>
          <w:tcPr>
            <w:tcW w:type="dxa" w:w="2304"/>
            <w:vAlign w:val="center"/>
          </w:tcPr>
          <w:p>
            <w:pPr>
              <w:spacing w:after="40"/>
            </w:pPr>
            <w:r>
              <w:rPr>
                <w:rFonts w:ascii="Calibri" w:hAnsi="Calibri"/>
                <w:color w:val="1B2A4A"/>
                <w:sz w:val="20"/>
              </w:rPr>
              <w:t>15–30 min</w:t>
            </w:r>
          </w:p>
        </w:tc>
      </w:tr>
      <w:tr>
        <w:tc>
          <w:tcPr>
            <w:tcW w:type="dxa" w:w="2016"/>
            <w:vAlign w:val="center"/>
            <w:shd w:val="clear" w:color="auto" w:fill="F4F8FB"/>
          </w:tcPr>
          <w:p>
            <w:pPr>
              <w:spacing w:after="40"/>
            </w:pPr>
            <w:r>
              <w:rPr>
                <w:rFonts w:ascii="Calibri" w:hAnsi="Calibri"/>
                <w:color w:val="1B2A4A"/>
                <w:sz w:val="20"/>
              </w:rPr>
              <w:t>500–2,000</w:t>
            </w:r>
          </w:p>
        </w:tc>
        <w:tc>
          <w:tcPr>
            <w:tcW w:type="dxa" w:w="2016"/>
            <w:vAlign w:val="center"/>
            <w:shd w:val="clear" w:color="auto" w:fill="F4F8FB"/>
          </w:tcPr>
          <w:p>
            <w:pPr>
              <w:spacing w:after="40"/>
            </w:pPr>
            <w:r>
              <w:rPr>
                <w:rFonts w:ascii="Calibri" w:hAnsi="Calibri"/>
                <w:color w:val="1B2A4A"/>
                <w:sz w:val="20"/>
              </w:rPr>
              <w:t>200</w:t>
            </w:r>
          </w:p>
        </w:tc>
        <w:tc>
          <w:tcPr>
            <w:tcW w:type="dxa" w:w="2304"/>
            <w:vAlign w:val="center"/>
            <w:shd w:val="clear" w:color="auto" w:fill="F4F8FB"/>
          </w:tcPr>
          <w:p>
            <w:pPr>
              <w:spacing w:after="40"/>
            </w:pPr>
            <w:r>
              <w:rPr>
                <w:rFonts w:ascii="Calibri" w:hAnsi="Calibri"/>
                <w:color w:val="1B2A4A"/>
                <w:sz w:val="20"/>
              </w:rPr>
              <w:t>No</w:t>
            </w:r>
          </w:p>
        </w:tc>
        <w:tc>
          <w:tcPr>
            <w:tcW w:type="dxa" w:w="2304"/>
            <w:vAlign w:val="center"/>
            <w:shd w:val="clear" w:color="auto" w:fill="F4F8FB"/>
          </w:tcPr>
          <w:p>
            <w:pPr>
              <w:spacing w:after="40"/>
            </w:pPr>
            <w:r>
              <w:rPr>
                <w:rFonts w:ascii="Calibri" w:hAnsi="Calibri"/>
                <w:color w:val="1B2A4A"/>
                <w:sz w:val="20"/>
              </w:rPr>
              <w:t>30–60 min</w:t>
            </w:r>
          </w:p>
        </w:tc>
      </w:tr>
      <w:tr>
        <w:tc>
          <w:tcPr>
            <w:tcW w:type="dxa" w:w="2016"/>
            <w:vAlign w:val="center"/>
          </w:tcPr>
          <w:p>
            <w:pPr>
              <w:spacing w:after="40"/>
            </w:pPr>
            <w:r>
              <w:rPr>
                <w:rFonts w:ascii="Calibri" w:hAnsi="Calibri"/>
                <w:color w:val="1B2A4A"/>
                <w:sz w:val="20"/>
              </w:rPr>
              <w:t>2,000–10,000</w:t>
            </w:r>
          </w:p>
        </w:tc>
        <w:tc>
          <w:tcPr>
            <w:tcW w:type="dxa" w:w="2016"/>
            <w:vAlign w:val="center"/>
          </w:tcPr>
          <w:p>
            <w:pPr>
              <w:spacing w:after="40"/>
            </w:pPr>
            <w:r>
              <w:rPr>
                <w:rFonts w:ascii="Calibri" w:hAnsi="Calibri"/>
                <w:color w:val="1B2A4A"/>
                <w:sz w:val="20"/>
              </w:rPr>
              <w:t>500 / shard</w:t>
            </w:r>
          </w:p>
        </w:tc>
        <w:tc>
          <w:tcPr>
            <w:tcW w:type="dxa" w:w="2304"/>
            <w:vAlign w:val="center"/>
          </w:tcPr>
          <w:p>
            <w:pPr>
              <w:spacing w:after="40"/>
            </w:pPr>
            <w:r>
              <w:rPr>
                <w:rFonts w:ascii="Calibri" w:hAnsi="Calibri"/>
                <w:color w:val="1B2A4A"/>
                <w:sz w:val="20"/>
              </w:rPr>
              <w:t>Yes (auto)</w:t>
            </w:r>
          </w:p>
        </w:tc>
        <w:tc>
          <w:tcPr>
            <w:tcW w:type="dxa" w:w="2304"/>
            <w:vAlign w:val="center"/>
          </w:tcPr>
          <w:p>
            <w:pPr>
              <w:spacing w:after="40"/>
            </w:pPr>
            <w:r>
              <w:rPr>
                <w:rFonts w:ascii="Calibri" w:hAnsi="Calibri"/>
                <w:color w:val="1B2A4A"/>
                <w:sz w:val="20"/>
              </w:rPr>
              <w:t>30–60 min</w:t>
            </w:r>
          </w:p>
        </w:tc>
      </w:tr>
      <w:tr>
        <w:tc>
          <w:tcPr>
            <w:tcW w:type="dxa" w:w="2016"/>
            <w:vAlign w:val="center"/>
            <w:shd w:val="clear" w:color="auto" w:fill="F4F8FB"/>
          </w:tcPr>
          <w:p>
            <w:pPr>
              <w:spacing w:after="40"/>
            </w:pPr>
            <w:r>
              <w:rPr>
                <w:rFonts w:ascii="Calibri" w:hAnsi="Calibri"/>
                <w:color w:val="1B2A4A"/>
                <w:sz w:val="20"/>
              </w:rPr>
              <w:t>10,000+</w:t>
            </w:r>
          </w:p>
        </w:tc>
        <w:tc>
          <w:tcPr>
            <w:tcW w:type="dxa" w:w="2016"/>
            <w:vAlign w:val="center"/>
            <w:shd w:val="clear" w:color="auto" w:fill="F4F8FB"/>
          </w:tcPr>
          <w:p>
            <w:pPr>
              <w:spacing w:after="40"/>
            </w:pPr>
            <w:r>
              <w:rPr>
                <w:rFonts w:ascii="Calibri" w:hAnsi="Calibri"/>
                <w:color w:val="1B2A4A"/>
                <w:sz w:val="20"/>
              </w:rPr>
              <w:t>1000 / shard</w:t>
            </w:r>
          </w:p>
        </w:tc>
        <w:tc>
          <w:tcPr>
            <w:tcW w:type="dxa" w:w="2304"/>
            <w:vAlign w:val="center"/>
            <w:shd w:val="clear" w:color="auto" w:fill="F4F8FB"/>
          </w:tcPr>
          <w:p>
            <w:pPr>
              <w:spacing w:after="40"/>
            </w:pPr>
            <w:r>
              <w:rPr>
                <w:rFonts w:ascii="Calibri" w:hAnsi="Calibri"/>
                <w:color w:val="1B2A4A"/>
                <w:sz w:val="20"/>
              </w:rPr>
              <w:t>AWX</w:t>
            </w:r>
          </w:p>
        </w:tc>
        <w:tc>
          <w:tcPr>
            <w:tcW w:type="dxa" w:w="2304"/>
            <w:vAlign w:val="center"/>
            <w:shd w:val="clear" w:color="auto" w:fill="F4F8FB"/>
          </w:tcPr>
          <w:p>
            <w:pPr>
              <w:spacing w:after="40"/>
            </w:pPr>
            <w:r>
              <w:rPr>
                <w:rFonts w:ascii="Calibri" w:hAnsi="Calibri"/>
                <w:color w:val="1B2A4A"/>
                <w:sz w:val="20"/>
              </w:rPr>
              <w:t>1–2 hr</w:t>
            </w:r>
          </w:p>
        </w:tc>
      </w:tr>
    </w:tbl>
    <w:p/>
    <w:p>
      <w:r>
        <w:rPr>
          <w:rFonts w:ascii="Calibri" w:hAnsi="Calibri"/>
          <w:b w:val="0"/>
          <w:i w:val="0"/>
          <w:sz w:val="22"/>
        </w:rPr>
        <w:t>The kit auto-tunes the Ansible fork count based on the number of VMs the dynamic inventory discovers. Above 2,000 VMs it also auto-shards: the inventory is split into batches of `deploy.shard_size` VMs and the playbook runs them sequentially. This keeps memory and Azure API throttling under control while still finishing in under an hour for tens of thousands of hosts. See docs/SCALING.md in the repository for AWX/Tower integration details.</w:t>
      </w:r>
    </w:p>
    <w:p>
      <w:r>
        <w:br w:type="page"/>
      </w:r>
    </w:p>
    <w:p>
      <w:pPr>
        <w:pStyle w:val="Heading1"/>
      </w:pPr>
      <w:r>
        <w:t>9. Troubleshooting Reference</w:t>
      </w:r>
    </w:p>
    <w:p>
      <w:r>
        <w:rPr>
          <w:rFonts w:ascii="Calibri" w:hAnsi="Calibri"/>
          <w:b w:val="0"/>
          <w:i w:val="0"/>
          <w:sz w:val="22"/>
        </w:rPr>
        <w:t>Organised by symptom area. The full reference lives at docs/TROUBLESHOOTING.md in the repository.</w:t>
      </w:r>
    </w:p>
    <w:p>
      <w:pPr>
        <w:pStyle w:val="Heading3"/>
      </w:pPr>
      <w:r>
        <w:t>Inventory</w:t>
      </w:r>
    </w:p>
    <w:tbl>
      <w:tblPr>
        <w:tblStyle w:val="TableGrid"/>
        <w:tblW w:type="auto" w:w="0"/>
        <w:jc w:val="center"/>
        <w:tblLook w:firstColumn="1" w:firstRow="1" w:lastColumn="0" w:lastRow="0" w:noHBand="0" w:noVBand="1" w:val="04A0"/>
      </w:tblPr>
      <w:tblGrid>
        <w:gridCol w:w="3216"/>
        <w:gridCol w:w="3216"/>
        <w:gridCol w:w="3216"/>
      </w:tblGrid>
      <w:tr>
        <w:tc>
          <w:tcPr>
            <w:tcW w:type="dxa" w:w="3168"/>
            <w:shd w:val="clear" w:color="auto" w:fill="0078D4"/>
            <w:vAlign w:val="center"/>
          </w:tcPr>
          <w:p>
            <w:pPr>
              <w:spacing w:after="40"/>
              <w:jc w:val="left"/>
            </w:pPr>
            <w:r>
              <w:rPr>
                <w:rFonts w:ascii="Calibri" w:hAnsi="Calibri"/>
                <w:b/>
                <w:color w:val="FFFFFF"/>
                <w:sz w:val="21"/>
              </w:rPr>
              <w:t>Symptom</w:t>
            </w:r>
          </w:p>
        </w:tc>
        <w:tc>
          <w:tcPr>
            <w:tcW w:type="dxa" w:w="3024"/>
            <w:shd w:val="clear" w:color="auto" w:fill="0078D4"/>
            <w:vAlign w:val="center"/>
          </w:tcPr>
          <w:p>
            <w:pPr>
              <w:spacing w:after="40"/>
              <w:jc w:val="left"/>
            </w:pPr>
            <w:r>
              <w:rPr>
                <w:rFonts w:ascii="Calibri" w:hAnsi="Calibri"/>
                <w:b/>
                <w:color w:val="FFFFFF"/>
                <w:sz w:val="21"/>
              </w:rPr>
              <w:t>Likely Cause</w:t>
            </w:r>
          </w:p>
        </w:tc>
        <w:tc>
          <w:tcPr>
            <w:tcW w:type="dxa" w:w="3888"/>
            <w:shd w:val="clear" w:color="auto" w:fill="0078D4"/>
            <w:vAlign w:val="center"/>
          </w:tcPr>
          <w:p>
            <w:pPr>
              <w:spacing w:after="40"/>
              <w:jc w:val="left"/>
            </w:pPr>
            <w:r>
              <w:rPr>
                <w:rFonts w:ascii="Calibri" w:hAnsi="Calibri"/>
                <w:b/>
                <w:color w:val="FFFFFF"/>
                <w:sz w:val="21"/>
              </w:rPr>
              <w:t>Fix</w:t>
            </w:r>
          </w:p>
        </w:tc>
      </w:tr>
      <w:tr>
        <w:tc>
          <w:tcPr>
            <w:tcW w:type="dxa" w:w="3168"/>
            <w:vAlign w:val="center"/>
            <w:shd w:val="clear" w:color="auto" w:fill="F4F8FB"/>
          </w:tcPr>
          <w:p>
            <w:pPr>
              <w:spacing w:after="40"/>
            </w:pPr>
            <w:r>
              <w:rPr>
                <w:rFonts w:ascii="Calibri" w:hAnsi="Calibri"/>
                <w:color w:val="1B2A4A"/>
                <w:sz w:val="20"/>
              </w:rPr>
              <w:t>Inventory finds 0 VMs</w:t>
            </w:r>
          </w:p>
        </w:tc>
        <w:tc>
          <w:tcPr>
            <w:tcW w:type="dxa" w:w="3024"/>
            <w:vAlign w:val="center"/>
            <w:shd w:val="clear" w:color="auto" w:fill="F4F8FB"/>
          </w:tcPr>
          <w:p>
            <w:pPr>
              <w:spacing w:after="40"/>
            </w:pPr>
            <w:r>
              <w:rPr>
                <w:rFonts w:ascii="Calibri" w:hAnsi="Calibri"/>
                <w:color w:val="1B2A4A"/>
                <w:sz w:val="20"/>
              </w:rPr>
              <w:t>Tags missing on VMs</w:t>
            </w:r>
          </w:p>
        </w:tc>
        <w:tc>
          <w:tcPr>
            <w:tcW w:type="dxa" w:w="3888"/>
            <w:vAlign w:val="center"/>
            <w:shd w:val="clear" w:color="auto" w:fill="F4F8FB"/>
          </w:tcPr>
          <w:p>
            <w:pPr>
              <w:spacing w:after="40"/>
            </w:pPr>
            <w:r>
              <w:rPr>
                <w:rFonts w:ascii="Calibri" w:hAnsi="Calibri"/>
                <w:color w:val="1B2A4A"/>
                <w:sz w:val="20"/>
              </w:rPr>
              <w:t>az vm update --set tags.cloudlens=yes tags.os=&lt;os&gt; tags.env=prod</w:t>
            </w:r>
          </w:p>
        </w:tc>
      </w:tr>
      <w:tr>
        <w:tc>
          <w:tcPr>
            <w:tcW w:type="dxa" w:w="3168"/>
            <w:vAlign w:val="center"/>
          </w:tcPr>
          <w:p>
            <w:pPr>
              <w:spacing w:after="40"/>
            </w:pPr>
            <w:r>
              <w:rPr>
                <w:rFonts w:ascii="Calibri" w:hAnsi="Calibri"/>
                <w:color w:val="1B2A4A"/>
                <w:sz w:val="20"/>
              </w:rPr>
              <w:t>Subset of VMs missing</w:t>
            </w:r>
          </w:p>
        </w:tc>
        <w:tc>
          <w:tcPr>
            <w:tcW w:type="dxa" w:w="3024"/>
            <w:vAlign w:val="center"/>
          </w:tcPr>
          <w:p>
            <w:pPr>
              <w:spacing w:after="40"/>
            </w:pPr>
            <w:r>
              <w:rPr>
                <w:rFonts w:ascii="Calibri" w:hAnsi="Calibri"/>
                <w:color w:val="1B2A4A"/>
                <w:sz w:val="20"/>
              </w:rPr>
              <w:t>Tag value mismatch (case-sensitive)</w:t>
            </w:r>
          </w:p>
        </w:tc>
        <w:tc>
          <w:tcPr>
            <w:tcW w:type="dxa" w:w="3888"/>
            <w:vAlign w:val="center"/>
          </w:tcPr>
          <w:p>
            <w:pPr>
              <w:spacing w:after="40"/>
            </w:pPr>
            <w:r>
              <w:rPr>
                <w:rFonts w:ascii="Calibri" w:hAnsi="Calibri"/>
                <w:color w:val="1B2A4A"/>
                <w:sz w:val="20"/>
              </w:rPr>
              <w:t>Use exact lowercase values: ubuntu, rhel, windows, prod</w:t>
            </w:r>
          </w:p>
        </w:tc>
      </w:tr>
    </w:tbl>
    <w:p/>
    <w:p>
      <w:pPr>
        <w:pStyle w:val="Heading3"/>
      </w:pPr>
      <w:r>
        <w:t>SSH (Linux)</w:t>
      </w:r>
    </w:p>
    <w:tbl>
      <w:tblPr>
        <w:tblStyle w:val="TableGrid"/>
        <w:tblW w:type="auto" w:w="0"/>
        <w:jc w:val="center"/>
        <w:tblLook w:firstColumn="1" w:firstRow="1" w:lastColumn="0" w:lastRow="0" w:noHBand="0" w:noVBand="1" w:val="04A0"/>
      </w:tblPr>
      <w:tblGrid>
        <w:gridCol w:w="3216"/>
        <w:gridCol w:w="3216"/>
        <w:gridCol w:w="3216"/>
      </w:tblGrid>
      <w:tr>
        <w:tc>
          <w:tcPr>
            <w:tcW w:type="dxa" w:w="3168"/>
            <w:shd w:val="clear" w:color="auto" w:fill="0078D4"/>
            <w:vAlign w:val="center"/>
          </w:tcPr>
          <w:p>
            <w:pPr>
              <w:spacing w:after="40"/>
              <w:jc w:val="left"/>
            </w:pPr>
            <w:r>
              <w:rPr>
                <w:rFonts w:ascii="Calibri" w:hAnsi="Calibri"/>
                <w:b/>
                <w:color w:val="FFFFFF"/>
                <w:sz w:val="21"/>
              </w:rPr>
              <w:t>Symptom</w:t>
            </w:r>
          </w:p>
        </w:tc>
        <w:tc>
          <w:tcPr>
            <w:tcW w:type="dxa" w:w="3024"/>
            <w:shd w:val="clear" w:color="auto" w:fill="0078D4"/>
            <w:vAlign w:val="center"/>
          </w:tcPr>
          <w:p>
            <w:pPr>
              <w:spacing w:after="40"/>
              <w:jc w:val="left"/>
            </w:pPr>
            <w:r>
              <w:rPr>
                <w:rFonts w:ascii="Calibri" w:hAnsi="Calibri"/>
                <w:b/>
                <w:color w:val="FFFFFF"/>
                <w:sz w:val="21"/>
              </w:rPr>
              <w:t>Likely Cause</w:t>
            </w:r>
          </w:p>
        </w:tc>
        <w:tc>
          <w:tcPr>
            <w:tcW w:type="dxa" w:w="3888"/>
            <w:shd w:val="clear" w:color="auto" w:fill="0078D4"/>
            <w:vAlign w:val="center"/>
          </w:tcPr>
          <w:p>
            <w:pPr>
              <w:spacing w:after="40"/>
              <w:jc w:val="left"/>
            </w:pPr>
            <w:r>
              <w:rPr>
                <w:rFonts w:ascii="Calibri" w:hAnsi="Calibri"/>
                <w:b/>
                <w:color w:val="FFFFFF"/>
                <w:sz w:val="21"/>
              </w:rPr>
              <w:t>Fix</w:t>
            </w:r>
          </w:p>
        </w:tc>
      </w:tr>
      <w:tr>
        <w:tc>
          <w:tcPr>
            <w:tcW w:type="dxa" w:w="3168"/>
            <w:vAlign w:val="center"/>
            <w:shd w:val="clear" w:color="auto" w:fill="F4F8FB"/>
          </w:tcPr>
          <w:p>
            <w:pPr>
              <w:spacing w:after="40"/>
            </w:pPr>
            <w:r>
              <w:rPr>
                <w:rFonts w:ascii="Calibri" w:hAnsi="Calibri"/>
                <w:color w:val="1B2A4A"/>
                <w:sz w:val="20"/>
              </w:rPr>
              <w:t>Permission denied (publickey)</w:t>
            </w:r>
          </w:p>
        </w:tc>
        <w:tc>
          <w:tcPr>
            <w:tcW w:type="dxa" w:w="3024"/>
            <w:vAlign w:val="center"/>
            <w:shd w:val="clear" w:color="auto" w:fill="F4F8FB"/>
          </w:tcPr>
          <w:p>
            <w:pPr>
              <w:spacing w:after="40"/>
            </w:pPr>
            <w:r>
              <w:rPr>
                <w:rFonts w:ascii="Calibri" w:hAnsi="Calibri"/>
                <w:color w:val="1B2A4A"/>
                <w:sz w:val="20"/>
              </w:rPr>
              <w:t>Public key not present on target VM</w:t>
            </w:r>
          </w:p>
        </w:tc>
        <w:tc>
          <w:tcPr>
            <w:tcW w:type="dxa" w:w="3888"/>
            <w:vAlign w:val="center"/>
            <w:shd w:val="clear" w:color="auto" w:fill="F4F8FB"/>
          </w:tcPr>
          <w:p>
            <w:pPr>
              <w:spacing w:after="40"/>
            </w:pPr>
            <w:r>
              <w:rPr>
                <w:rFonts w:ascii="Calibri" w:hAnsi="Calibri"/>
                <w:color w:val="1B2A4A"/>
                <w:sz w:val="20"/>
              </w:rPr>
              <w:t>Bootstrap via az vm run-command invoke or use jumpbox mode</w:t>
            </w:r>
          </w:p>
        </w:tc>
      </w:tr>
      <w:tr>
        <w:tc>
          <w:tcPr>
            <w:tcW w:type="dxa" w:w="3168"/>
            <w:vAlign w:val="center"/>
          </w:tcPr>
          <w:p>
            <w:pPr>
              <w:spacing w:after="40"/>
            </w:pPr>
            <w:r>
              <w:rPr>
                <w:rFonts w:ascii="Calibri" w:hAnsi="Calibri"/>
                <w:color w:val="1B2A4A"/>
                <w:sz w:val="20"/>
              </w:rPr>
              <w:t>Connection timeout</w:t>
            </w:r>
          </w:p>
        </w:tc>
        <w:tc>
          <w:tcPr>
            <w:tcW w:type="dxa" w:w="3024"/>
            <w:vAlign w:val="center"/>
          </w:tcPr>
          <w:p>
            <w:pPr>
              <w:spacing w:after="40"/>
            </w:pPr>
            <w:r>
              <w:rPr>
                <w:rFonts w:ascii="Calibri" w:hAnsi="Calibri"/>
                <w:color w:val="1B2A4A"/>
                <w:sz w:val="20"/>
              </w:rPr>
              <w:t>NSG blocks port 22 from control point</w:t>
            </w:r>
          </w:p>
        </w:tc>
        <w:tc>
          <w:tcPr>
            <w:tcW w:type="dxa" w:w="3888"/>
            <w:vAlign w:val="center"/>
          </w:tcPr>
          <w:p>
            <w:pPr>
              <w:spacing w:after="40"/>
            </w:pPr>
            <w:r>
              <w:rPr>
                <w:rFonts w:ascii="Calibri" w:hAnsi="Calibri"/>
                <w:color w:val="1B2A4A"/>
                <w:sz w:val="20"/>
              </w:rPr>
              <w:t>Switch connection.mode to jumpbox or bastion</w:t>
            </w:r>
          </w:p>
        </w:tc>
      </w:tr>
    </w:tbl>
    <w:p/>
    <w:p>
      <w:pPr>
        <w:pStyle w:val="Heading3"/>
      </w:pPr>
      <w:r>
        <w:t>WinRM (Windows)</w:t>
      </w:r>
    </w:p>
    <w:tbl>
      <w:tblPr>
        <w:tblStyle w:val="TableGrid"/>
        <w:tblW w:type="auto" w:w="0"/>
        <w:jc w:val="center"/>
        <w:tblLook w:firstColumn="1" w:firstRow="1" w:lastColumn="0" w:lastRow="0" w:noHBand="0" w:noVBand="1" w:val="04A0"/>
      </w:tblPr>
      <w:tblGrid>
        <w:gridCol w:w="3216"/>
        <w:gridCol w:w="3216"/>
        <w:gridCol w:w="3216"/>
      </w:tblGrid>
      <w:tr>
        <w:tc>
          <w:tcPr>
            <w:tcW w:type="dxa" w:w="3168"/>
            <w:shd w:val="clear" w:color="auto" w:fill="0078D4"/>
            <w:vAlign w:val="center"/>
          </w:tcPr>
          <w:p>
            <w:pPr>
              <w:spacing w:after="40"/>
              <w:jc w:val="left"/>
            </w:pPr>
            <w:r>
              <w:rPr>
                <w:rFonts w:ascii="Calibri" w:hAnsi="Calibri"/>
                <w:b/>
                <w:color w:val="FFFFFF"/>
                <w:sz w:val="21"/>
              </w:rPr>
              <w:t>Symptom</w:t>
            </w:r>
          </w:p>
        </w:tc>
        <w:tc>
          <w:tcPr>
            <w:tcW w:type="dxa" w:w="3024"/>
            <w:shd w:val="clear" w:color="auto" w:fill="0078D4"/>
            <w:vAlign w:val="center"/>
          </w:tcPr>
          <w:p>
            <w:pPr>
              <w:spacing w:after="40"/>
              <w:jc w:val="left"/>
            </w:pPr>
            <w:r>
              <w:rPr>
                <w:rFonts w:ascii="Calibri" w:hAnsi="Calibri"/>
                <w:b/>
                <w:color w:val="FFFFFF"/>
                <w:sz w:val="21"/>
              </w:rPr>
              <w:t>Likely Cause</w:t>
            </w:r>
          </w:p>
        </w:tc>
        <w:tc>
          <w:tcPr>
            <w:tcW w:type="dxa" w:w="3888"/>
            <w:shd w:val="clear" w:color="auto" w:fill="0078D4"/>
            <w:vAlign w:val="center"/>
          </w:tcPr>
          <w:p>
            <w:pPr>
              <w:spacing w:after="40"/>
              <w:jc w:val="left"/>
            </w:pPr>
            <w:r>
              <w:rPr>
                <w:rFonts w:ascii="Calibri" w:hAnsi="Calibri"/>
                <w:b/>
                <w:color w:val="FFFFFF"/>
                <w:sz w:val="21"/>
              </w:rPr>
              <w:t>Fix</w:t>
            </w:r>
          </w:p>
        </w:tc>
      </w:tr>
      <w:tr>
        <w:tc>
          <w:tcPr>
            <w:tcW w:type="dxa" w:w="3168"/>
            <w:vAlign w:val="center"/>
            <w:shd w:val="clear" w:color="auto" w:fill="F4F8FB"/>
          </w:tcPr>
          <w:p>
            <w:pPr>
              <w:spacing w:after="40"/>
            </w:pPr>
            <w:r>
              <w:rPr>
                <w:rFonts w:ascii="Calibri" w:hAnsi="Calibri"/>
                <w:color w:val="1B2A4A"/>
                <w:sz w:val="20"/>
              </w:rPr>
              <w:t>WinRM timeout on 5985</w:t>
            </w:r>
          </w:p>
        </w:tc>
        <w:tc>
          <w:tcPr>
            <w:tcW w:type="dxa" w:w="3024"/>
            <w:vAlign w:val="center"/>
            <w:shd w:val="clear" w:color="auto" w:fill="F4F8FB"/>
          </w:tcPr>
          <w:p>
            <w:pPr>
              <w:spacing w:after="40"/>
            </w:pPr>
            <w:r>
              <w:rPr>
                <w:rFonts w:ascii="Calibri" w:hAnsi="Calibri"/>
                <w:color w:val="1B2A4A"/>
                <w:sz w:val="20"/>
              </w:rPr>
              <w:t>WinRM disabled on Windows VM</w:t>
            </w:r>
          </w:p>
        </w:tc>
        <w:tc>
          <w:tcPr>
            <w:tcW w:type="dxa" w:w="3888"/>
            <w:vAlign w:val="center"/>
            <w:shd w:val="clear" w:color="auto" w:fill="F4F8FB"/>
          </w:tcPr>
          <w:p>
            <w:pPr>
              <w:spacing w:after="40"/>
            </w:pPr>
            <w:r>
              <w:rPr>
                <w:rFonts w:ascii="Calibri" w:hAnsi="Calibri"/>
                <w:color w:val="1B2A4A"/>
                <w:sz w:val="20"/>
              </w:rPr>
              <w:t>Run playbooks/bootstrap_windows_winrm.yaml against the host</w:t>
            </w:r>
          </w:p>
        </w:tc>
      </w:tr>
      <w:tr>
        <w:tc>
          <w:tcPr>
            <w:tcW w:type="dxa" w:w="3168"/>
            <w:vAlign w:val="center"/>
          </w:tcPr>
          <w:p>
            <w:pPr>
              <w:spacing w:after="40"/>
            </w:pPr>
            <w:r>
              <w:rPr>
                <w:rFonts w:ascii="Calibri" w:hAnsi="Calibri"/>
                <w:color w:val="1B2A4A"/>
                <w:sz w:val="20"/>
              </w:rPr>
              <w:t>401 Unauthorized</w:t>
            </w:r>
          </w:p>
        </w:tc>
        <w:tc>
          <w:tcPr>
            <w:tcW w:type="dxa" w:w="3024"/>
            <w:vAlign w:val="center"/>
          </w:tcPr>
          <w:p>
            <w:pPr>
              <w:spacing w:after="40"/>
            </w:pPr>
            <w:r>
              <w:rPr>
                <w:rFonts w:ascii="Calibri" w:hAnsi="Calibri"/>
                <w:color w:val="1B2A4A"/>
                <w:sz w:val="20"/>
              </w:rPr>
              <w:t>ANSIBLE_WINRM_PASSWORD env var not exported</w:t>
            </w:r>
          </w:p>
        </w:tc>
        <w:tc>
          <w:tcPr>
            <w:tcW w:type="dxa" w:w="3888"/>
            <w:vAlign w:val="center"/>
          </w:tcPr>
          <w:p>
            <w:pPr>
              <w:spacing w:after="40"/>
            </w:pPr>
            <w:r>
              <w:rPr>
                <w:rFonts w:ascii="Calibri" w:hAnsi="Calibri"/>
                <w:color w:val="1B2A4A"/>
                <w:sz w:val="20"/>
              </w:rPr>
              <w:t>export ANSIBLE_WINRM_PASSWORD='...' before running the kit</w:t>
            </w:r>
          </w:p>
        </w:tc>
      </w:tr>
    </w:tbl>
    <w:p/>
    <w:p>
      <w:pPr>
        <w:pStyle w:val="Heading3"/>
      </w:pPr>
      <w:r>
        <w:t>Container (Linux sensor)</w:t>
      </w:r>
    </w:p>
    <w:tbl>
      <w:tblPr>
        <w:tblStyle w:val="TableGrid"/>
        <w:tblW w:type="auto" w:w="0"/>
        <w:jc w:val="center"/>
        <w:tblLook w:firstColumn="1" w:firstRow="1" w:lastColumn="0" w:lastRow="0" w:noHBand="0" w:noVBand="1" w:val="04A0"/>
      </w:tblPr>
      <w:tblGrid>
        <w:gridCol w:w="3216"/>
        <w:gridCol w:w="3216"/>
        <w:gridCol w:w="3216"/>
      </w:tblGrid>
      <w:tr>
        <w:tc>
          <w:tcPr>
            <w:tcW w:type="dxa" w:w="3168"/>
            <w:shd w:val="clear" w:color="auto" w:fill="0078D4"/>
            <w:vAlign w:val="center"/>
          </w:tcPr>
          <w:p>
            <w:pPr>
              <w:spacing w:after="40"/>
              <w:jc w:val="left"/>
            </w:pPr>
            <w:r>
              <w:rPr>
                <w:rFonts w:ascii="Calibri" w:hAnsi="Calibri"/>
                <w:b/>
                <w:color w:val="FFFFFF"/>
                <w:sz w:val="21"/>
              </w:rPr>
              <w:t>Symptom</w:t>
            </w:r>
          </w:p>
        </w:tc>
        <w:tc>
          <w:tcPr>
            <w:tcW w:type="dxa" w:w="3024"/>
            <w:shd w:val="clear" w:color="auto" w:fill="0078D4"/>
            <w:vAlign w:val="center"/>
          </w:tcPr>
          <w:p>
            <w:pPr>
              <w:spacing w:after="40"/>
              <w:jc w:val="left"/>
            </w:pPr>
            <w:r>
              <w:rPr>
                <w:rFonts w:ascii="Calibri" w:hAnsi="Calibri"/>
                <w:b/>
                <w:color w:val="FFFFFF"/>
                <w:sz w:val="21"/>
              </w:rPr>
              <w:t>Likely Cause</w:t>
            </w:r>
          </w:p>
        </w:tc>
        <w:tc>
          <w:tcPr>
            <w:tcW w:type="dxa" w:w="3888"/>
            <w:shd w:val="clear" w:color="auto" w:fill="0078D4"/>
            <w:vAlign w:val="center"/>
          </w:tcPr>
          <w:p>
            <w:pPr>
              <w:spacing w:after="40"/>
              <w:jc w:val="left"/>
            </w:pPr>
            <w:r>
              <w:rPr>
                <w:rFonts w:ascii="Calibri" w:hAnsi="Calibri"/>
                <w:b/>
                <w:color w:val="FFFFFF"/>
                <w:sz w:val="21"/>
              </w:rPr>
              <w:t>Fix</w:t>
            </w:r>
          </w:p>
        </w:tc>
      </w:tr>
      <w:tr>
        <w:tc>
          <w:tcPr>
            <w:tcW w:type="dxa" w:w="3168"/>
            <w:vAlign w:val="center"/>
            <w:shd w:val="clear" w:color="auto" w:fill="F4F8FB"/>
          </w:tcPr>
          <w:p>
            <w:pPr>
              <w:spacing w:after="40"/>
            </w:pPr>
            <w:r>
              <w:rPr>
                <w:rFonts w:ascii="Calibri" w:hAnsi="Calibri"/>
                <w:color w:val="1B2A4A"/>
                <w:sz w:val="20"/>
              </w:rPr>
              <w:t>apt_pkg.Error: Signed-By conflict</w:t>
            </w:r>
          </w:p>
        </w:tc>
        <w:tc>
          <w:tcPr>
            <w:tcW w:type="dxa" w:w="3024"/>
            <w:vAlign w:val="center"/>
            <w:shd w:val="clear" w:color="auto" w:fill="F4F8FB"/>
          </w:tcPr>
          <w:p>
            <w:pPr>
              <w:spacing w:after="40"/>
            </w:pPr>
            <w:r>
              <w:rPr>
                <w:rFonts w:ascii="Calibri" w:hAnsi="Calibri"/>
                <w:color w:val="1B2A4A"/>
                <w:sz w:val="20"/>
              </w:rPr>
              <w:t>Stale Docker apt source list</w:t>
            </w:r>
          </w:p>
        </w:tc>
        <w:tc>
          <w:tcPr>
            <w:tcW w:type="dxa" w:w="3888"/>
            <w:vAlign w:val="center"/>
            <w:shd w:val="clear" w:color="auto" w:fill="F4F8FB"/>
          </w:tcPr>
          <w:p>
            <w:pPr>
              <w:spacing w:after="40"/>
            </w:pPr>
            <w:r>
              <w:rPr>
                <w:rFonts w:ascii="Calibri" w:hAnsi="Calibri"/>
                <w:color w:val="1B2A4A"/>
                <w:sz w:val="20"/>
              </w:rPr>
              <w:t>The playbook auto-cleans on the next run; rerun the kit</w:t>
            </w:r>
          </w:p>
        </w:tc>
      </w:tr>
      <w:tr>
        <w:tc>
          <w:tcPr>
            <w:tcW w:type="dxa" w:w="3168"/>
            <w:vAlign w:val="center"/>
          </w:tcPr>
          <w:p>
            <w:pPr>
              <w:spacing w:after="40"/>
            </w:pPr>
            <w:r>
              <w:rPr>
                <w:rFonts w:ascii="Calibri" w:hAnsi="Calibri"/>
                <w:color w:val="1B2A4A"/>
                <w:sz w:val="20"/>
              </w:rPr>
              <w:t>Container restarts in a loop</w:t>
            </w:r>
          </w:p>
        </w:tc>
        <w:tc>
          <w:tcPr>
            <w:tcW w:type="dxa" w:w="3024"/>
            <w:vAlign w:val="center"/>
          </w:tcPr>
          <w:p>
            <w:pPr>
              <w:spacing w:after="40"/>
            </w:pPr>
            <w:r>
              <w:rPr>
                <w:rFonts w:ascii="Calibri" w:hAnsi="Calibri"/>
                <w:color w:val="1B2A4A"/>
                <w:sz w:val="20"/>
              </w:rPr>
              <w:t>Wrong CLMS IP or project key</w:t>
            </w:r>
          </w:p>
        </w:tc>
        <w:tc>
          <w:tcPr>
            <w:tcW w:type="dxa" w:w="3888"/>
            <w:vAlign w:val="center"/>
          </w:tcPr>
          <w:p>
            <w:pPr>
              <w:spacing w:after="40"/>
            </w:pPr>
            <w:r>
              <w:rPr>
                <w:rFonts w:ascii="Calibri" w:hAnsi="Calibri"/>
                <w:color w:val="1B2A4A"/>
                <w:sz w:val="20"/>
              </w:rPr>
              <w:t>docker logs cloudlens-agent; fix manager_ip_or_fqdn / project_key</w:t>
            </w:r>
          </w:p>
        </w:tc>
      </w:tr>
    </w:tbl>
    <w:p/>
    <w:p>
      <w:pPr>
        <w:pStyle w:val="Heading3"/>
      </w:pPr>
      <w:r>
        <w:t>Registration with CLMS</w:t>
      </w:r>
    </w:p>
    <w:tbl>
      <w:tblPr>
        <w:tblStyle w:val="TableGrid"/>
        <w:tblW w:type="auto" w:w="0"/>
        <w:jc w:val="center"/>
        <w:tblLook w:firstColumn="1" w:firstRow="1" w:lastColumn="0" w:lastRow="0" w:noHBand="0" w:noVBand="1" w:val="04A0"/>
      </w:tblPr>
      <w:tblGrid>
        <w:gridCol w:w="3216"/>
        <w:gridCol w:w="3216"/>
        <w:gridCol w:w="3216"/>
      </w:tblGrid>
      <w:tr>
        <w:tc>
          <w:tcPr>
            <w:tcW w:type="dxa" w:w="3168"/>
            <w:shd w:val="clear" w:color="auto" w:fill="0078D4"/>
            <w:vAlign w:val="center"/>
          </w:tcPr>
          <w:p>
            <w:pPr>
              <w:spacing w:after="40"/>
              <w:jc w:val="left"/>
            </w:pPr>
            <w:r>
              <w:rPr>
                <w:rFonts w:ascii="Calibri" w:hAnsi="Calibri"/>
                <w:b/>
                <w:color w:val="FFFFFF"/>
                <w:sz w:val="21"/>
              </w:rPr>
              <w:t>Symptom</w:t>
            </w:r>
          </w:p>
        </w:tc>
        <w:tc>
          <w:tcPr>
            <w:tcW w:type="dxa" w:w="3024"/>
            <w:shd w:val="clear" w:color="auto" w:fill="0078D4"/>
            <w:vAlign w:val="center"/>
          </w:tcPr>
          <w:p>
            <w:pPr>
              <w:spacing w:after="40"/>
              <w:jc w:val="left"/>
            </w:pPr>
            <w:r>
              <w:rPr>
                <w:rFonts w:ascii="Calibri" w:hAnsi="Calibri"/>
                <w:b/>
                <w:color w:val="FFFFFF"/>
                <w:sz w:val="21"/>
              </w:rPr>
              <w:t>Likely Cause</w:t>
            </w:r>
          </w:p>
        </w:tc>
        <w:tc>
          <w:tcPr>
            <w:tcW w:type="dxa" w:w="3888"/>
            <w:shd w:val="clear" w:color="auto" w:fill="0078D4"/>
            <w:vAlign w:val="center"/>
          </w:tcPr>
          <w:p>
            <w:pPr>
              <w:spacing w:after="40"/>
              <w:jc w:val="left"/>
            </w:pPr>
            <w:r>
              <w:rPr>
                <w:rFonts w:ascii="Calibri" w:hAnsi="Calibri"/>
                <w:b/>
                <w:color w:val="FFFFFF"/>
                <w:sz w:val="21"/>
              </w:rPr>
              <w:t>Fix</w:t>
            </w:r>
          </w:p>
        </w:tc>
      </w:tr>
      <w:tr>
        <w:tc>
          <w:tcPr>
            <w:tcW w:type="dxa" w:w="3168"/>
            <w:vAlign w:val="center"/>
            <w:shd w:val="clear" w:color="auto" w:fill="F4F8FB"/>
          </w:tcPr>
          <w:p>
            <w:pPr>
              <w:spacing w:after="40"/>
            </w:pPr>
            <w:r>
              <w:rPr>
                <w:rFonts w:ascii="Calibri" w:hAnsi="Calibri"/>
                <w:color w:val="1B2A4A"/>
                <w:sz w:val="20"/>
              </w:rPr>
              <w:t>Sensor not in CLMS UI</w:t>
            </w:r>
          </w:p>
        </w:tc>
        <w:tc>
          <w:tcPr>
            <w:tcW w:type="dxa" w:w="3024"/>
            <w:vAlign w:val="center"/>
            <w:shd w:val="clear" w:color="auto" w:fill="F4F8FB"/>
          </w:tcPr>
          <w:p>
            <w:pPr>
              <w:spacing w:after="40"/>
            </w:pPr>
            <w:r>
              <w:rPr>
                <w:rFonts w:ascii="Calibri" w:hAnsi="Calibri"/>
                <w:color w:val="1B2A4A"/>
                <w:sz w:val="20"/>
              </w:rPr>
              <w:t>Wrong project key</w:t>
            </w:r>
          </w:p>
        </w:tc>
        <w:tc>
          <w:tcPr>
            <w:tcW w:type="dxa" w:w="3888"/>
            <w:vAlign w:val="center"/>
            <w:shd w:val="clear" w:color="auto" w:fill="F4F8FB"/>
          </w:tcPr>
          <w:p>
            <w:pPr>
              <w:spacing w:after="40"/>
            </w:pPr>
            <w:r>
              <w:rPr>
                <w:rFonts w:ascii="Calibri" w:hAnsi="Calibri"/>
                <w:color w:val="1B2A4A"/>
                <w:sz w:val="20"/>
              </w:rPr>
              <w:t>Check CLMS → Projects → API Keys; update customer_input.yaml</w:t>
            </w:r>
          </w:p>
        </w:tc>
      </w:tr>
      <w:tr>
        <w:tc>
          <w:tcPr>
            <w:tcW w:type="dxa" w:w="3168"/>
            <w:vAlign w:val="center"/>
          </w:tcPr>
          <w:p>
            <w:pPr>
              <w:spacing w:after="40"/>
            </w:pPr>
            <w:r>
              <w:rPr>
                <w:rFonts w:ascii="Calibri" w:hAnsi="Calibri"/>
                <w:color w:val="1B2A4A"/>
                <w:sz w:val="20"/>
              </w:rPr>
              <w:t>Sensor offline after restart</w:t>
            </w:r>
          </w:p>
        </w:tc>
        <w:tc>
          <w:tcPr>
            <w:tcW w:type="dxa" w:w="3024"/>
            <w:vAlign w:val="center"/>
          </w:tcPr>
          <w:p>
            <w:pPr>
              <w:spacing w:after="40"/>
            </w:pPr>
            <w:r>
              <w:rPr>
                <w:rFonts w:ascii="Calibri" w:hAnsi="Calibri"/>
                <w:color w:val="1B2A4A"/>
                <w:sz w:val="20"/>
              </w:rPr>
              <w:t>CLMS IP unreachable from VM subnet</w:t>
            </w:r>
          </w:p>
        </w:tc>
        <w:tc>
          <w:tcPr>
            <w:tcW w:type="dxa" w:w="3888"/>
            <w:vAlign w:val="center"/>
          </w:tcPr>
          <w:p>
            <w:pPr>
              <w:spacing w:after="40"/>
            </w:pPr>
            <w:r>
              <w:rPr>
                <w:rFonts w:ascii="Calibri" w:hAnsi="Calibri"/>
                <w:color w:val="1B2A4A"/>
                <w:sz w:val="20"/>
              </w:rPr>
              <w:t>Open egress from VM subnet to CLMS on TCP/443</w:t>
            </w:r>
          </w:p>
        </w:tc>
      </w:tr>
    </w:tbl>
    <w:p/>
    <w:p>
      <w:r>
        <w:br w:type="page"/>
      </w:r>
    </w:p>
    <w:p>
      <w:pPr>
        <w:pStyle w:val="Heading1"/>
      </w:pPr>
      <w:r>
        <w:t>Appendix A: customer_input.yaml Schema</w:t>
      </w:r>
    </w:p>
    <w:p>
      <w:r>
        <w:rPr>
          <w:rFonts w:ascii="Calibri" w:hAnsi="Calibri"/>
          <w:b w:val="0"/>
          <w:i w:val="0"/>
          <w:sz w:val="22"/>
        </w:rPr>
        <w:t>Full annotated example. Copy customer_input.yaml.example from the repository to customer_input.yaml and fill in values. Never commit customer_input.yaml to git. Credentials belong in env vars.</w:t>
      </w:r>
    </w:p>
    <w:p>
      <w:pPr>
        <w:spacing w:before="80" w:after="160"/>
        <w:ind w:left="216"/>
        <w:shd w:val="clear" w:color="auto" w:fill="F2F2F2"/>
      </w:pPr>
      <w:r>
        <w:rPr>
          <w:rFonts w:ascii="Courier New" w:hAnsi="Courier New"/>
          <w:color w:val="1B2A4A"/>
          <w:sz w:val="19"/>
        </w:rPr>
        <w:t># === Azure Environment ===</w:t>
        <w:br/>
        <w:t>azure:</w:t>
        <w:br/>
        <w:t xml:space="preserve">  subscription_id: "00000000-0000-0000-0000-000000000000"</w:t>
        <w:br/>
        <w:t xml:space="preserve">  tenant_id:       "00000000-0000-0000-0000-000000000000"</w:t>
        <w:br/>
        <w:br/>
        <w:t xml:space="preserve">  # Tag selector: VMs are matched by these tags</w:t>
        <w:br/>
        <w:t xml:space="preserve">  tag_filters:</w:t>
        <w:br/>
        <w:t xml:space="preserve">    cloudlens: "yes"</w:t>
        <w:br/>
        <w:t xml:space="preserve">    env:       "prod"</w:t>
        <w:br/>
        <w:br/>
        <w:t xml:space="preserve">  resource_groups: []   # empty = all RGs in the subscription</w:t>
        <w:br/>
        <w:t xml:space="preserve">  locations: []         # empty = all regions</w:t>
        <w:br/>
        <w:br/>
        <w:t># === CloudLens Configuration ===</w:t>
        <w:br/>
        <w:t>cloudlens:</w:t>
        <w:br/>
        <w:t xml:space="preserve">  manager_ip_or_fqdn: "clms.customer.example.com"</w:t>
        <w:br/>
        <w:t xml:space="preserve">  project_key:        "REPLACE_WITH_PROJECT_KEY"</w:t>
        <w:br/>
        <w:t xml:space="preserve">  custom_tags:        "Env=Azure Region=eastus2 Customer=Acme"</w:t>
        <w:br/>
        <w:t xml:space="preserve">  registry_type:      "insecure"   # or "secure"</w:t>
        <w:br/>
        <w:t xml:space="preserve">  ssl_verify:         "no"</w:t>
        <w:br/>
        <w:t xml:space="preserve">  auto_update:        "yes"</w:t>
        <w:br/>
        <w:t xml:space="preserve">  local_ca_path:      "files/cloudlenscerts.crt"</w:t>
        <w:br/>
        <w:t xml:space="preserve">  ca_cert_dir:        "/etc/ssl/certs"</w:t>
        <w:br/>
        <w:t xml:space="preserve">  agent_container_name: "cloudlens-agent"</w:t>
        <w:br/>
        <w:t xml:space="preserve">  log_max_size: "50m"</w:t>
        <w:br/>
        <w:t xml:space="preserve">  log_max_file: "5"</w:t>
        <w:br/>
        <w:br/>
        <w:t># === Connection Mode ===</w:t>
        <w:br/>
        <w:t># direct_public | jumpbox | bastion | cloud_shell</w:t>
        <w:br/>
        <w:t>connection:</w:t>
        <w:br/>
        <w:t xml:space="preserve">  mode: "jumpbox"</w:t>
        <w:br/>
        <w:t xml:space="preserve">  jumpbox_host:    "1.2.3.4"</w:t>
        <w:br/>
        <w:t xml:space="preserve">  jumpbox_user:    "azureuser"</w:t>
        <w:br/>
        <w:t xml:space="preserve">  jumpbox_ssh_key: "~/.ssh/id_rsa"</w:t>
        <w:br/>
        <w:t xml:space="preserve">  bastion_resource_id: ""</w:t>
        <w:br/>
        <w:br/>
        <w:t># === Linux SSH ===</w:t>
        <w:br/>
        <w:t>linux:</w:t>
        <w:br/>
        <w:t xml:space="preserve">  ansible_user: "azureuser"</w:t>
        <w:br/>
        <w:t xml:space="preserve">  ssh_key_file: "~/.ssh/id_rsa"</w:t>
        <w:br/>
        <w:br/>
        <w:t># === Windows WinRM ===</w:t>
        <w:br/>
        <w:t># Password MUST be set via env var: export ANSIBLE_WINRM_PASSWORD='...'</w:t>
        <w:br/>
        <w:t>windows:</w:t>
        <w:br/>
        <w:t xml:space="preserve">  ansible_user:                       "azureuser"</w:t>
        <w:br/>
        <w:t xml:space="preserve">  ansible_connection:                 "winrm"</w:t>
        <w:br/>
        <w:t xml:space="preserve">  ansible_winrm_transport:            "basic"</w:t>
        <w:br/>
        <w:t xml:space="preserve">  ansible_winrm_server_cert_validation: "ignore"</w:t>
        <w:br/>
        <w:t xml:space="preserve">  ansible_port:                       5985</w:t>
        <w:br/>
        <w:t xml:space="preserve">  installer_path:     "files/cloudlens-win-sensor-6.13.0.359.exe"</w:t>
        <w:br/>
        <w:t xml:space="preserve">  installer_filename: "cloudlens-win-sensor-6.13.0.359.exe"</w:t>
        <w:br/>
        <w:br/>
        <w:t># === Deployment Behavior ===</w:t>
        <w:br/>
        <w:t>deploy:</w:t>
        <w:br/>
        <w:t xml:space="preserve">  forks: 0                # 0 = auto-tune</w:t>
        <w:br/>
        <w:t xml:space="preserve">  timeout_seconds: 60</w:t>
        <w:br/>
        <w:t xml:space="preserve">  reinstall_if_unhealthy: true</w:t>
        <w:br/>
        <w:t xml:space="preserve">  shard_size: 500         # for &gt;2000 VMs</w:t>
        <w:br/>
      </w:r>
    </w:p>
    <w:p>
      <w:r>
        <w:br w:type="page"/>
      </w:r>
    </w:p>
    <w:p>
      <w:pPr>
        <w:pStyle w:val="Heading1"/>
      </w:pPr>
      <w:r>
        <w:t>Appendix B: Bulk Tag Script</w:t>
      </w:r>
    </w:p>
    <w:p>
      <w:r>
        <w:rPr>
          <w:rFonts w:ascii="Calibri" w:hAnsi="Calibri"/>
          <w:b w:val="0"/>
          <w:i w:val="0"/>
          <w:sz w:val="22"/>
        </w:rPr>
        <w:t>Apply the three required tags to every VM in a resource group, filtered by OS. Run these from Azure Cloud Shell or any shell with the Azure CLI logged in.</w:t>
      </w:r>
    </w:p>
    <w:p>
      <w:pPr>
        <w:pStyle w:val="Heading3"/>
      </w:pPr>
      <w:r>
        <w:t>Ubuntu VMs</w:t>
      </w:r>
    </w:p>
    <w:p>
      <w:pPr>
        <w:spacing w:before="80" w:after="160"/>
        <w:ind w:left="216"/>
        <w:shd w:val="clear" w:color="auto" w:fill="F2F2F2"/>
      </w:pPr>
      <w:r>
        <w:rPr>
          <w:rFonts w:ascii="Courier New" w:hAnsi="Courier New"/>
          <w:color w:val="1B2A4A"/>
          <w:sz w:val="19"/>
        </w:rPr>
        <w:t>for vm in $(az vm list -g &lt;RG&gt; --query \</w:t>
        <w:br/>
        <w:t xml:space="preserve">    "[?storageProfile.imageReference.offer=='0001-com-ubuntu-server-jammy'].name" \</w:t>
        <w:br/>
        <w:t xml:space="preserve">    -o tsv); do</w:t>
        <w:br/>
        <w:t xml:space="preserve">  az vm update -g &lt;RG&gt; -n $vm \</w:t>
        <w:br/>
        <w:t xml:space="preserve">    --set tags.cloudlens=yes tags.os=ubuntu tags.env=prod</w:t>
        <w:br/>
        <w:t>done</w:t>
      </w:r>
    </w:p>
    <w:p>
      <w:pPr>
        <w:pStyle w:val="Heading3"/>
      </w:pPr>
      <w:r>
        <w:t>RHEL VMs</w:t>
      </w:r>
    </w:p>
    <w:p>
      <w:pPr>
        <w:spacing w:before="80" w:after="160"/>
        <w:ind w:left="216"/>
        <w:shd w:val="clear" w:color="auto" w:fill="F2F2F2"/>
      </w:pPr>
      <w:r>
        <w:rPr>
          <w:rFonts w:ascii="Courier New" w:hAnsi="Courier New"/>
          <w:color w:val="1B2A4A"/>
          <w:sz w:val="19"/>
        </w:rPr>
        <w:t>for vm in $(az vm list -g &lt;RG&gt; --query \</w:t>
        <w:br/>
        <w:t xml:space="preserve">    "[?storageProfile.imageReference.publisher=='RedHat'].name" \</w:t>
        <w:br/>
        <w:t xml:space="preserve">    -o tsv); do</w:t>
        <w:br/>
        <w:t xml:space="preserve">  az vm update -g &lt;RG&gt; -n $vm \</w:t>
        <w:br/>
        <w:t xml:space="preserve">    --set tags.cloudlens=yes tags.os=rhel tags.env=prod</w:t>
        <w:br/>
        <w:t>done</w:t>
      </w:r>
    </w:p>
    <w:p>
      <w:pPr>
        <w:pStyle w:val="Heading3"/>
      </w:pPr>
      <w:r>
        <w:t>Windows VMs</w:t>
      </w:r>
    </w:p>
    <w:p>
      <w:pPr>
        <w:spacing w:before="80" w:after="160"/>
        <w:ind w:left="216"/>
        <w:shd w:val="clear" w:color="auto" w:fill="F2F2F2"/>
      </w:pPr>
      <w:r>
        <w:rPr>
          <w:rFonts w:ascii="Courier New" w:hAnsi="Courier New"/>
          <w:color w:val="1B2A4A"/>
          <w:sz w:val="19"/>
        </w:rPr>
        <w:t>for vm in $(az vm list -g &lt;RG&gt; --query \</w:t>
        <w:br/>
        <w:t xml:space="preserve">    "[?storageProfile.osDisk.osType=='Windows'].name" \</w:t>
        <w:br/>
        <w:t xml:space="preserve">    -o tsv); do</w:t>
        <w:br/>
        <w:t xml:space="preserve">  az vm update -g &lt;RG&gt; -n $vm \</w:t>
        <w:br/>
        <w:t xml:space="preserve">    --set tags.cloudlens=yes tags.os=windows tags.env=prod</w:t>
        <w:br/>
        <w:t>done</w:t>
      </w:r>
    </w:p>
    <w:p>
      <w:r>
        <w:br w:type="page"/>
      </w:r>
    </w:p>
    <w:p>
      <w:pPr>
        <w:pStyle w:val="Heading1"/>
      </w:pPr>
      <w:r>
        <w:t>Appendix C: Quick Links</w:t>
      </w:r>
    </w:p>
    <w:tbl>
      <w:tblPr>
        <w:tblStyle w:val="TableGrid"/>
        <w:tblW w:type="auto" w:w="0"/>
        <w:jc w:val="center"/>
        <w:tblLook w:firstColumn="1" w:firstRow="1" w:lastColumn="0" w:lastRow="0" w:noHBand="0" w:noVBand="1" w:val="04A0"/>
      </w:tblPr>
      <w:tblGrid>
        <w:gridCol w:w="4824"/>
        <w:gridCol w:w="4824"/>
      </w:tblGrid>
      <w:tr>
        <w:tc>
          <w:tcPr>
            <w:tcW w:type="dxa" w:w="3744"/>
            <w:shd w:val="clear" w:color="auto" w:fill="0078D4"/>
            <w:vAlign w:val="center"/>
          </w:tcPr>
          <w:p>
            <w:pPr>
              <w:spacing w:after="40"/>
              <w:jc w:val="left"/>
            </w:pPr>
            <w:r>
              <w:rPr>
                <w:rFonts w:ascii="Calibri" w:hAnsi="Calibri"/>
                <w:b/>
                <w:color w:val="FFFFFF"/>
                <w:sz w:val="21"/>
              </w:rPr>
              <w:t>Resource</w:t>
            </w:r>
          </w:p>
        </w:tc>
        <w:tc>
          <w:tcPr>
            <w:tcW w:type="dxa" w:w="6336"/>
            <w:shd w:val="clear" w:color="auto" w:fill="0078D4"/>
            <w:vAlign w:val="center"/>
          </w:tcPr>
          <w:p>
            <w:pPr>
              <w:spacing w:after="40"/>
              <w:jc w:val="left"/>
            </w:pPr>
            <w:r>
              <w:rPr>
                <w:rFonts w:ascii="Calibri" w:hAnsi="Calibri"/>
                <w:b/>
                <w:color w:val="FFFFFF"/>
                <w:sz w:val="21"/>
              </w:rPr>
              <w:t>Location</w:t>
            </w:r>
          </w:p>
        </w:tc>
      </w:tr>
      <w:tr>
        <w:tc>
          <w:tcPr>
            <w:tcW w:type="dxa" w:w="3744"/>
            <w:vAlign w:val="center"/>
            <w:shd w:val="clear" w:color="auto" w:fill="F4F8FB"/>
          </w:tcPr>
          <w:p>
            <w:pPr>
              <w:spacing w:after="40"/>
            </w:pPr>
            <w:r>
              <w:rPr>
                <w:rFonts w:ascii="Calibri" w:hAnsi="Calibri"/>
                <w:color w:val="1B2A4A"/>
                <w:sz w:val="20"/>
              </w:rPr>
              <w:t>GitHub repository</w:t>
            </w:r>
          </w:p>
        </w:tc>
        <w:tc>
          <w:tcPr>
            <w:tcW w:type="dxa" w:w="6336"/>
            <w:vAlign w:val="center"/>
            <w:shd w:val="clear" w:color="auto" w:fill="F4F8FB"/>
          </w:tcPr>
          <w:p>
            <w:pPr>
              <w:spacing w:after="40"/>
            </w:pPr>
            <w:r>
              <w:rPr>
                <w:rFonts w:ascii="Calibri" w:hAnsi="Calibri"/>
                <w:color w:val="1B2A4A"/>
                <w:sz w:val="20"/>
              </w:rPr>
              <w:t>https://github.com/Keysight-Tech/cloudlens-ansible-azure</w:t>
            </w:r>
          </w:p>
        </w:tc>
      </w:tr>
      <w:tr>
        <w:tc>
          <w:tcPr>
            <w:tcW w:type="dxa" w:w="3744"/>
            <w:vAlign w:val="center"/>
          </w:tcPr>
          <w:p>
            <w:pPr>
              <w:spacing w:after="40"/>
            </w:pPr>
            <w:r>
              <w:rPr>
                <w:rFonts w:ascii="Calibri" w:hAnsi="Calibri"/>
                <w:color w:val="1B2A4A"/>
                <w:sz w:val="20"/>
              </w:rPr>
              <w:t>README (technical entry point)</w:t>
            </w:r>
          </w:p>
        </w:tc>
        <w:tc>
          <w:tcPr>
            <w:tcW w:type="dxa" w:w="6336"/>
            <w:vAlign w:val="center"/>
          </w:tcPr>
          <w:p>
            <w:pPr>
              <w:spacing w:after="40"/>
            </w:pPr>
            <w:r>
              <w:rPr>
                <w:rFonts w:ascii="Calibri" w:hAnsi="Calibri"/>
                <w:color w:val="1B2A4A"/>
                <w:sz w:val="20"/>
              </w:rPr>
              <w:t>https://github.com/Keysight-Tech/cloudlens-ansible-azure/blob/main/README.md</w:t>
            </w:r>
          </w:p>
        </w:tc>
      </w:tr>
      <w:tr>
        <w:tc>
          <w:tcPr>
            <w:tcW w:type="dxa" w:w="3744"/>
            <w:vAlign w:val="center"/>
            <w:shd w:val="clear" w:color="auto" w:fill="F4F8FB"/>
          </w:tcPr>
          <w:p>
            <w:pPr>
              <w:spacing w:after="40"/>
            </w:pPr>
            <w:r>
              <w:rPr>
                <w:rFonts w:ascii="Calibri" w:hAnsi="Calibri"/>
                <w:color w:val="1B2A4A"/>
                <w:sz w:val="20"/>
              </w:rPr>
              <w:t>Deployment guide</w:t>
            </w:r>
          </w:p>
        </w:tc>
        <w:tc>
          <w:tcPr>
            <w:tcW w:type="dxa" w:w="6336"/>
            <w:vAlign w:val="center"/>
            <w:shd w:val="clear" w:color="auto" w:fill="F4F8FB"/>
          </w:tcPr>
          <w:p>
            <w:pPr>
              <w:spacing w:after="40"/>
            </w:pPr>
            <w:r>
              <w:rPr>
                <w:rFonts w:ascii="Calibri" w:hAnsi="Calibri"/>
                <w:color w:val="1B2A4A"/>
                <w:sz w:val="20"/>
              </w:rPr>
              <w:t>docs/DEPLOYMENT_GUIDE.md (in the repo)</w:t>
            </w:r>
          </w:p>
        </w:tc>
      </w:tr>
      <w:tr>
        <w:tc>
          <w:tcPr>
            <w:tcW w:type="dxa" w:w="3744"/>
            <w:vAlign w:val="center"/>
          </w:tcPr>
          <w:p>
            <w:pPr>
              <w:spacing w:after="40"/>
            </w:pPr>
            <w:r>
              <w:rPr>
                <w:rFonts w:ascii="Calibri" w:hAnsi="Calibri"/>
                <w:color w:val="1B2A4A"/>
                <w:sz w:val="20"/>
              </w:rPr>
              <w:t>Scaling guide</w:t>
            </w:r>
          </w:p>
        </w:tc>
        <w:tc>
          <w:tcPr>
            <w:tcW w:type="dxa" w:w="6336"/>
            <w:vAlign w:val="center"/>
          </w:tcPr>
          <w:p>
            <w:pPr>
              <w:spacing w:after="40"/>
            </w:pPr>
            <w:r>
              <w:rPr>
                <w:rFonts w:ascii="Calibri" w:hAnsi="Calibri"/>
                <w:color w:val="1B2A4A"/>
                <w:sz w:val="20"/>
              </w:rPr>
              <w:t>docs/SCALING.md (in the repo)</w:t>
            </w:r>
          </w:p>
        </w:tc>
      </w:tr>
      <w:tr>
        <w:tc>
          <w:tcPr>
            <w:tcW w:type="dxa" w:w="3744"/>
            <w:vAlign w:val="center"/>
            <w:shd w:val="clear" w:color="auto" w:fill="F4F8FB"/>
          </w:tcPr>
          <w:p>
            <w:pPr>
              <w:spacing w:after="40"/>
            </w:pPr>
            <w:r>
              <w:rPr>
                <w:rFonts w:ascii="Calibri" w:hAnsi="Calibri"/>
                <w:color w:val="1B2A4A"/>
                <w:sz w:val="20"/>
              </w:rPr>
              <w:t>Troubleshooting guide</w:t>
            </w:r>
          </w:p>
        </w:tc>
        <w:tc>
          <w:tcPr>
            <w:tcW w:type="dxa" w:w="6336"/>
            <w:vAlign w:val="center"/>
            <w:shd w:val="clear" w:color="auto" w:fill="F4F8FB"/>
          </w:tcPr>
          <w:p>
            <w:pPr>
              <w:spacing w:after="40"/>
            </w:pPr>
            <w:r>
              <w:rPr>
                <w:rFonts w:ascii="Calibri" w:hAnsi="Calibri"/>
                <w:color w:val="1B2A4A"/>
                <w:sz w:val="20"/>
              </w:rPr>
              <w:t>docs/TROUBLESHOOTING.md (in the repo)</w:t>
            </w:r>
          </w:p>
        </w:tc>
      </w:tr>
      <w:tr>
        <w:tc>
          <w:tcPr>
            <w:tcW w:type="dxa" w:w="3744"/>
            <w:vAlign w:val="center"/>
          </w:tcPr>
          <w:p>
            <w:pPr>
              <w:spacing w:after="40"/>
            </w:pPr>
            <w:r>
              <w:rPr>
                <w:rFonts w:ascii="Calibri" w:hAnsi="Calibri"/>
                <w:color w:val="1B2A4A"/>
                <w:sz w:val="20"/>
              </w:rPr>
              <w:t>Customer email template</w:t>
            </w:r>
          </w:p>
        </w:tc>
        <w:tc>
          <w:tcPr>
            <w:tcW w:type="dxa" w:w="6336"/>
            <w:vAlign w:val="center"/>
          </w:tcPr>
          <w:p>
            <w:pPr>
              <w:spacing w:after="40"/>
            </w:pPr>
            <w:r>
              <w:rPr>
                <w:rFonts w:ascii="Calibri" w:hAnsi="Calibri"/>
                <w:color w:val="1B2A4A"/>
                <w:sz w:val="20"/>
              </w:rPr>
              <w:t>docs/CUSTOMER_EMAIL.md (in the repo)</w:t>
            </w:r>
          </w:p>
        </w:tc>
      </w:tr>
      <w:tr>
        <w:tc>
          <w:tcPr>
            <w:tcW w:type="dxa" w:w="3744"/>
            <w:vAlign w:val="center"/>
            <w:shd w:val="clear" w:color="auto" w:fill="F4F8FB"/>
          </w:tcPr>
          <w:p>
            <w:pPr>
              <w:spacing w:after="40"/>
            </w:pPr>
            <w:r>
              <w:rPr>
                <w:rFonts w:ascii="Calibri" w:hAnsi="Calibri"/>
                <w:color w:val="1B2A4A"/>
                <w:sz w:val="20"/>
              </w:rPr>
              <w:t>GitHub Issues (bug reports / feature requests)</w:t>
            </w:r>
          </w:p>
        </w:tc>
        <w:tc>
          <w:tcPr>
            <w:tcW w:type="dxa" w:w="6336"/>
            <w:vAlign w:val="center"/>
            <w:shd w:val="clear" w:color="auto" w:fill="F4F8FB"/>
          </w:tcPr>
          <w:p>
            <w:pPr>
              <w:spacing w:after="40"/>
            </w:pPr>
            <w:r>
              <w:rPr>
                <w:rFonts w:ascii="Calibri" w:hAnsi="Calibri"/>
                <w:color w:val="1B2A4A"/>
                <w:sz w:val="20"/>
              </w:rPr>
              <w:t>https://github.com/Keysight-Tech/cloudlens-ansible-azure/issues</w:t>
            </w:r>
          </w:p>
        </w:tc>
      </w:tr>
      <w:tr>
        <w:tc>
          <w:tcPr>
            <w:tcW w:type="dxa" w:w="3744"/>
            <w:vAlign w:val="center"/>
          </w:tcPr>
          <w:p>
            <w:pPr>
              <w:spacing w:after="40"/>
            </w:pPr>
            <w:r>
              <w:rPr>
                <w:rFonts w:ascii="Calibri" w:hAnsi="Calibri"/>
                <w:color w:val="1B2A4A"/>
                <w:sz w:val="20"/>
              </w:rPr>
              <w:t>Related: vPB + Azure GWLB</w:t>
            </w:r>
          </w:p>
        </w:tc>
        <w:tc>
          <w:tcPr>
            <w:tcW w:type="dxa" w:w="6336"/>
            <w:vAlign w:val="center"/>
          </w:tcPr>
          <w:p>
            <w:pPr>
              <w:spacing w:after="40"/>
            </w:pPr>
            <w:r>
              <w:rPr>
                <w:rFonts w:ascii="Calibri" w:hAnsi="Calibri"/>
                <w:color w:val="1B2A4A"/>
                <w:sz w:val="20"/>
              </w:rPr>
              <w:t>https://github.com/Keysight-Tech/cloudlens-vpb-azure-gwlb</w:t>
            </w:r>
          </w:p>
        </w:tc>
      </w:tr>
    </w:tbl>
    <w:p/>
    <w:p>
      <w:r>
        <w:rPr>
          <w:rFonts w:ascii="Calibri" w:hAnsi="Calibri"/>
          <w:b w:val="0"/>
          <w:i/>
          <w:color w:val="556575"/>
          <w:sz w:val="20"/>
        </w:rPr>
        <w:t>Support email subject (for the Keysight account team): 'CloudLens Ansible Azure: &lt;customer name&gt;, &lt;brief issue&gt;'.</w:t>
      </w:r>
    </w:p>
    <w:sectPr w:rsidR="00FC693F" w:rsidRPr="0006063C" w:rsidSect="00034616">
      <w:headerReference w:type="default" r:id="rId9"/>
      <w:footerReference w:type="default" r:id="rId10"/>
      <w:pgSz w:w="12240" w:h="15840"/>
      <w:pgMar w:top="1152" w:right="1296" w:bottom="1152" w:left="1296"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56575"/>
        <w:sz w:val="18"/>
      </w:rPr>
      <w:t xml:space="preserve">Keysight Technologies   |   </w:t>
    </w:r>
    <w:r>
      <w:rPr>
        <w:rFonts w:ascii="Calibri" w:hAnsi="Calibri"/>
        <w:color w:val="556575"/>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005A9E"/>
        <w:sz w:val="18"/>
      </w:rPr>
      <w:t>CloudLens Ansible for Azure: Customer Runbook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pPr>
    <w:rPr>
      <w:rFonts w:ascii="Calibri" w:hAnsi="Calibri"/>
      <w:color w:val="1B2A4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0078D4"/>
      <w:sz w:val="44"/>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b/>
      <w:bCs/>
      <w:color w:val="005A9E"/>
      <w:sz w:val="30"/>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b/>
      <w:bCs/>
      <w:color w:val="1B2A4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