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p>
    <w:p>
      <w:pPr>
        <w:spacing w:after="20"/>
      </w:pPr>
      <w:r>
        <w:rPr>
          <w:rFonts w:ascii="Arial" w:cs="Arial" w:eastAsia="Arial" w:hAnsi="Arial"/>
          <w:b/>
          <w:bCs/>
          <w:color w:val="E90029"/>
          <w:sz w:val="42"/>
          <w:szCs w:val="42"/>
        </w:rPr>
        <w:t xml:space="preserve">CLOUDLENS AUTOPILOT</w:t>
      </w:r>
    </w:p>
    <w:p>
      <w:pPr>
        <w:spacing w:after="20"/>
      </w:pPr>
      <w:r>
        <w:rPr>
          <w:rFonts w:ascii="Arial" w:cs="Arial" w:eastAsia="Arial" w:hAnsi="Arial"/>
          <w:color w:val="1A1A1A"/>
          <w:sz w:val="28"/>
          <w:szCs w:val="28"/>
        </w:rPr>
        <w:t xml:space="preserve">Cloud Visibility Automation Platform</w:t>
      </w:r>
    </w:p>
    <w:p>
      <w:pPr>
        <w:spacing w:after="40"/>
      </w:pPr>
      <w:r>
        <w:rPr>
          <w:rFonts w:ascii="Arial" w:cs="Arial" w:eastAsia="Arial" w:hAnsi="Arial"/>
          <w:color w:val="666666"/>
          <w:sz w:val="22"/>
          <w:szCs w:val="22"/>
        </w:rPr>
        <w:t xml:space="preserve">Impact Assessment, Competitive Analysis &amp; Strategic Roadmap</w:t>
      </w:r>
    </w:p>
    <w:p>
      <w:pPr>
        <w:pBdr>
          <w:bottom w:val="single" w:color="E90029" w:sz="12" w:space="4"/>
        </w:pBdr>
        <w:spacing w:after="200"/>
      </w:pPr>
    </w:p>
    <w:p>
      <w:pPr>
        <w:spacing w:after="10"/>
      </w:pPr>
      <w:r>
        <w:rPr>
          <w:rFonts w:ascii="Arial" w:cs="Arial" w:eastAsia="Arial" w:hAnsi="Arial"/>
          <w:color w:val="666666"/>
          <w:sz w:val="20"/>
          <w:szCs w:val="20"/>
        </w:rPr>
        <w:t xml:space="preserve">Prepared by: </w:t>
      </w:r>
      <w:r>
        <w:rPr>
          <w:rFonts w:ascii="Arial" w:cs="Arial" w:eastAsia="Arial" w:hAnsi="Arial"/>
          <w:b/>
          <w:bCs/>
          <w:color w:val="1A1A1A"/>
          <w:sz w:val="20"/>
          <w:szCs w:val="20"/>
        </w:rPr>
        <w:t xml:space="preserve">Brine Ketum</w:t>
      </w:r>
      <w:r>
        <w:rPr>
          <w:rFonts w:ascii="Arial" w:cs="Arial" w:eastAsia="Arial" w:hAnsi="Arial"/>
          <w:color w:val="666666"/>
          <w:sz w:val="20"/>
          <w:szCs w:val="20"/>
        </w:rPr>
        <w:t xml:space="preserve">  |  Solutions Engineer, Keysight Technologies</w:t>
      </w:r>
    </w:p>
    <w:p>
      <w:pPr>
        <w:spacing w:after="160"/>
      </w:pPr>
      <w:r>
        <w:rPr>
          <w:rFonts w:ascii="Arial" w:cs="Arial" w:eastAsia="Arial" w:hAnsi="Arial"/>
          <w:color w:val="666666"/>
          <w:sz w:val="20"/>
          <w:szCs w:val="20"/>
        </w:rPr>
        <w:t xml:space="preserve">Date: March 2026  |  Classification: Internal  |  Version: 2.0</w:t>
      </w:r>
    </w:p>
    <w:p>
      <w:pPr>
        <w:spacing w:after="120" w:before="280"/>
      </w:pPr>
      <w:r>
        <w:rPr>
          <w:rFonts w:ascii="Arial" w:cs="Arial" w:eastAsia="Arial" w:hAnsi="Arial"/>
          <w:b/>
          <w:bCs/>
          <w:color w:val="E90029"/>
          <w:sz w:val="28"/>
          <w:szCs w:val="28"/>
        </w:rPr>
        <w:t xml:space="preserve">1. Executive Summary</w:t>
      </w:r>
    </w:p>
    <w:p>
      <w:pPr>
        <w:spacing w:after="80" w:line="276"/>
      </w:pPr>
      <w:r>
        <w:rPr>
          <w:rFonts w:ascii="Arial" w:cs="Arial" w:eastAsia="Arial" w:hAnsi="Arial"/>
          <w:color w:val="1A1A1A"/>
          <w:sz w:val="20"/>
          <w:szCs w:val="20"/>
        </w:rPr>
        <w:t xml:space="preserve">CloudLens AutoPilot transforms the deployment of Keysight’s cloud and hybrid visibility stack from a multi-day manual process into a single-command, repeatable automation framework spanning public cloud (AWS, Azure, GCP) and private cloud (VMware, OpenStack, Nutanix) environments.</w:t>
      </w:r>
    </w:p>
    <w:p>
      <w:pPr>
        <w:spacing w:after="80" w:line="276"/>
      </w:pPr>
      <w:r>
        <w:rPr>
          <w:rFonts w:ascii="Arial" w:cs="Arial" w:eastAsia="Arial" w:hAnsi="Arial"/>
          <w:color w:val="1A1A1A"/>
          <w:sz w:val="20"/>
          <w:szCs w:val="20"/>
        </w:rPr>
        <w:t xml:space="preserve">By combining Infrastructure-as-Code (Terraform/CloudFormation), AWS Systems Manager, Ansible Automation Platform, and event-driven auto-tagging, AutoPilot reduces deployment time by 95% and eliminates the manual errors that historically delayed customer POCs and production rollouts across all cloud platforms.</w:t>
      </w:r>
    </w:p>
    <w:p>
      <w:pPr>
        <w:spacing w:after="4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90029" w:sz="1"/>
              <w:left w:val="single" w:color="E90029" w:sz="6"/>
              <w:bottom w:val="single" w:color="E90029" w:sz="1"/>
              <w:right w:val="single" w:color="E90029" w:sz="1"/>
            </w:tcBorders>
            <w:shd w:fill="FDE8EC" w:val="clear"/>
            <w:tcMar>
              <w:top w:type="dxa" w:w="100"/>
              <w:left w:type="dxa" w:w="200"/>
              <w:bottom w:type="dxa" w:w="100"/>
              <w:right w:type="dxa" w:w="200"/>
            </w:tcMar>
          </w:tcPr>
          <w:p>
            <w:r>
              <w:rPr>
                <w:rFonts w:ascii="Arial" w:cs="Arial" w:eastAsia="Arial" w:hAnsi="Arial"/>
                <w:b/>
                <w:bCs/>
                <w:color w:val="E90029"/>
                <w:sz w:val="20"/>
                <w:szCs w:val="20"/>
              </w:rPr>
              <w:t xml:space="preserve">Key Result: </w:t>
            </w:r>
            <w:r>
              <w:rPr>
                <w:rFonts w:ascii="Arial" w:cs="Arial" w:eastAsia="Arial" w:hAnsi="Arial"/>
                <w:color w:val="1A1A1A"/>
                <w:sz w:val="20"/>
                <w:szCs w:val="20"/>
              </w:rPr>
              <w:t xml:space="preserve">Time to full packet visibility reduced from 7–10 business days to under 1 hour across 847+ VMs in a Fortune 500 production environment.</w:t>
            </w:r>
          </w:p>
        </w:tc>
      </w:tr>
    </w:tbl>
    <w:p>
      <w:pPr>
        <w:spacing w:after="60"/>
      </w:pPr>
    </w:p>
    <w:p>
      <w:pPr>
        <w:spacing w:after="120" w:before="280"/>
      </w:pPr>
      <w:r>
        <w:rPr>
          <w:rFonts w:ascii="Arial" w:cs="Arial" w:eastAsia="Arial" w:hAnsi="Arial"/>
          <w:b/>
          <w:bCs/>
          <w:color w:val="E90029"/>
          <w:sz w:val="28"/>
          <w:szCs w:val="28"/>
        </w:rPr>
        <w:t xml:space="preserve">2. The Problem: Manual Deployment Does Not Scale</w:t>
      </w:r>
    </w:p>
    <w:p>
      <w:pPr>
        <w:spacing w:after="80" w:line="276"/>
      </w:pPr>
      <w:r>
        <w:rPr>
          <w:rFonts w:ascii="Arial" w:cs="Arial" w:eastAsia="Arial" w:hAnsi="Arial"/>
          <w:color w:val="1A1A1A"/>
          <w:sz w:val="20"/>
          <w:szCs w:val="20"/>
        </w:rPr>
        <w:t xml:space="preserve">Deploying CloudLens across multi-cloud and hybrid environments required Solutions Engineers to manually provision infrastructure through cloud consoles, configure products through multiple web UIs, SSH into individual machines to install sensors, and set up traffic mirroring rules per-instance. For enterprise customers operating across AWS, Azure, GCP, and private VMware/OpenStack environments with hundreds or thousands of workloads, this approach was unsustainable and non-competitive.</w:t>
      </w:r>
    </w:p>
    <w:p>
      <w:pPr>
        <w:spacing w:after="4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200"/>
        <w:gridCol w:w="3420"/>
        <w:gridCol w:w="3420"/>
      </w:tblGrid>
      <w:tr>
        <w:tc>
          <w:tcPr>
            <w:tcW w:type="dxa" w:w="3200"/>
            <w:tcBorders>
              <w:top w:val="single" w:color="DDDDDD" w:sz="1"/>
              <w:left w:val="single" w:color="DDDDDD" w:sz="1"/>
              <w:bottom w:val="single" w:color="DDDDDD" w:sz="1"/>
              <w:right w:val="single" w:color="DDDDDD" w:sz="1"/>
            </w:tcBorders>
            <w:shd w:fill="E90029"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3420"/>
            <w:tcBorders>
              <w:top w:val="single" w:color="DDDDDD" w:sz="1"/>
              <w:left w:val="single" w:color="DDDDDD" w:sz="1"/>
              <w:bottom w:val="single" w:color="DDDDDD" w:sz="1"/>
              <w:right w:val="single" w:color="DDDDDD" w:sz="1"/>
            </w:tcBorders>
            <w:shd w:fill="E90029" w:val="clear"/>
            <w:tcMar>
              <w:top w:type="dxa" w:w="60"/>
              <w:left w:type="dxa" w:w="100"/>
              <w:bottom w:type="dxa" w:w="60"/>
              <w:right w:type="dxa" w:w="100"/>
            </w:tcMar>
          </w:tcPr>
          <w:p>
            <w:r>
              <w:rPr>
                <w:rFonts w:ascii="Arial" w:cs="Arial" w:eastAsia="Arial" w:hAnsi="Arial"/>
                <w:b/>
                <w:bCs/>
                <w:color w:val="FFFFFF"/>
                <w:sz w:val="18"/>
                <w:szCs w:val="18"/>
              </w:rPr>
              <w:t xml:space="preserve">Before (Manual)</w:t>
            </w:r>
          </w:p>
        </w:tc>
        <w:tc>
          <w:tcPr>
            <w:tcW w:type="dxa" w:w="3420"/>
            <w:tcBorders>
              <w:top w:val="single" w:color="DDDDDD" w:sz="1"/>
              <w:left w:val="single" w:color="DDDDDD" w:sz="1"/>
              <w:bottom w:val="single" w:color="DDDDDD" w:sz="1"/>
              <w:right w:val="single" w:color="DDDDDD" w:sz="1"/>
            </w:tcBorders>
            <w:shd w:fill="E90029" w:val="clear"/>
            <w:tcMar>
              <w:top w:type="dxa" w:w="60"/>
              <w:left w:type="dxa" w:w="100"/>
              <w:bottom w:type="dxa" w:w="60"/>
              <w:right w:type="dxa" w:w="100"/>
            </w:tcMar>
          </w:tcPr>
          <w:p>
            <w:r>
              <w:rPr>
                <w:rFonts w:ascii="Arial" w:cs="Arial" w:eastAsia="Arial" w:hAnsi="Arial"/>
                <w:b/>
                <w:bCs/>
                <w:color w:val="FFFFFF"/>
                <w:sz w:val="18"/>
                <w:szCs w:val="18"/>
              </w:rPr>
              <w:t xml:space="preserve">After (AutoPilot)</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Infrastructure (VPC, SGs, IAM, vNets)</w:t>
            </w:r>
          </w:p>
        </w:tc>
        <w:tc>
          <w:tcPr>
            <w:tcW w:type="dxa" w:w="34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2–4 hours per cloud (console clicks)</w:t>
            </w:r>
          </w:p>
        </w:tc>
        <w:tc>
          <w:tcPr>
            <w:tcW w:type="dxa" w:w="342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5 min (terraform apply / CFT launch)</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KVO + CLMS + vPB Deployment</w:t>
            </w:r>
          </w:p>
        </w:tc>
        <w:tc>
          <w:tcPr>
            <w:tcW w:type="dxa" w:w="34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1–2 hours (manual AMI/image launch)</w:t>
            </w:r>
          </w:p>
        </w:tc>
        <w:tc>
          <w:tcPr>
            <w:tcW w:type="dxa" w:w="342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5 min (included in IaC)</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Product Configuration</w:t>
            </w:r>
          </w:p>
        </w:tc>
        <w:tc>
          <w:tcPr>
            <w:tcW w:type="dxa" w:w="34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30–60 min (UI clicks, trial &amp; error)</w:t>
            </w:r>
          </w:p>
        </w:tc>
        <w:tc>
          <w:tcPr>
            <w:tcW w:type="dxa" w:w="342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 min (guided runbook)</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Sensor Deployment — 100 VMs</w:t>
            </w:r>
          </w:p>
        </w:tc>
        <w:tc>
          <w:tcPr>
            <w:tcW w:type="dxa" w:w="34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4–8 hours (SSH/RDP per VM)</w:t>
            </w:r>
          </w:p>
        </w:tc>
        <w:tc>
          <w:tcPr>
            <w:tcW w:type="dxa" w:w="342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2 min (SSM one-command)</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Sensor Deployment — 1,000 VMs</w:t>
            </w:r>
          </w:p>
        </w:tc>
        <w:tc>
          <w:tcPr>
            <w:tcW w:type="dxa" w:w="34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3–5 days (Ansible + SSH access)</w:t>
            </w:r>
          </w:p>
        </w:tc>
        <w:tc>
          <w:tcPr>
            <w:tcW w:type="dxa" w:w="342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5 min (SSM tag-based)</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VMware Sensor Deployment (850 VMs)</w:t>
            </w:r>
          </w:p>
        </w:tc>
        <w:tc>
          <w:tcPr>
            <w:tcW w:type="dxa" w:w="34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5–7 days (manual Ansible playbooks)</w:t>
            </w:r>
          </w:p>
        </w:tc>
        <w:tc>
          <w:tcPr>
            <w:tcW w:type="dxa" w:w="342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45 min (Ansible Tower automated)</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Kubernetes (EKS/AKS/GKE) Sensors</w:t>
            </w:r>
          </w:p>
        </w:tc>
        <w:tc>
          <w:tcPr>
            <w:tcW w:type="dxa" w:w="34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2–4 hours (manual Helm/kubectl)</w:t>
            </w:r>
          </w:p>
        </w:tc>
        <w:tc>
          <w:tcPr>
            <w:tcW w:type="dxa" w:w="342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5 min (Helm chart + DaemonSet)</w:t>
            </w:r>
          </w:p>
        </w:tc>
      </w:tr>
      <w:tr>
        <w:tc>
          <w:tcPr>
            <w:tcW w:type="dxa" w:w="3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Traffic Mirroring (AWS VPC Mirror)</w:t>
            </w:r>
          </w:p>
        </w:tc>
        <w:tc>
          <w:tcPr>
            <w:tcW w:type="dxa" w:w="34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1–2 hours (manual AWS Console)</w:t>
            </w:r>
          </w:p>
        </w:tc>
        <w:tc>
          <w:tcPr>
            <w:tcW w:type="dxa" w:w="342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Automatic (Lambda + EventBridge)</w:t>
            </w:r>
          </w:p>
        </w:tc>
      </w:tr>
      <w:tr>
        <w:tc>
          <w:tcPr>
            <w:tcW w:type="dxa" w:w="3200"/>
            <w:tcBorders>
              <w:top w:val="single" w:color="DDDDDD" w:sz="1"/>
              <w:left w:val="single" w:color="DDDDDD" w:sz="1"/>
              <w:bottom w:val="single" w:color="DDDDDD" w:sz="1"/>
              <w:right w:val="single" w:color="DDDDDD" w:sz="1"/>
            </w:tcBorders>
            <w:shd w:fill="FDE8EC"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TOTAL — 100 VM POC</w:t>
            </w:r>
          </w:p>
        </w:tc>
        <w:tc>
          <w:tcPr>
            <w:tcW w:type="dxa" w:w="3420"/>
            <w:tcBorders>
              <w:top w:val="single" w:color="DDDDDD" w:sz="1"/>
              <w:left w:val="single" w:color="DDDDDD" w:sz="1"/>
              <w:bottom w:val="single" w:color="DDDDDD" w:sz="1"/>
              <w:right w:val="single" w:color="DDDDDD" w:sz="1"/>
            </w:tcBorders>
            <w:shd w:fill="FDE8EC" w:val="clear"/>
            <w:tcMar>
              <w:top w:type="dxa" w:w="60"/>
              <w:left w:type="dxa" w:w="100"/>
              <w:bottom w:type="dxa" w:w="60"/>
              <w:right w:type="dxa" w:w="100"/>
            </w:tcMar>
          </w:tcPr>
          <w:p>
            <w:pPr>
              <w:jc w:val="left"/>
            </w:pPr>
            <w:r>
              <w:rPr>
                <w:rFonts w:ascii="Arial" w:cs="Arial" w:eastAsia="Arial" w:hAnsi="Arial"/>
                <w:b/>
                <w:bCs/>
                <w:color w:val="1A1A1A"/>
                <w:sz w:val="18"/>
                <w:szCs w:val="18"/>
              </w:rPr>
              <w:t xml:space="preserve">1–2 days</w:t>
            </w:r>
          </w:p>
        </w:tc>
        <w:tc>
          <w:tcPr>
            <w:tcW w:type="dxa" w:w="3420"/>
            <w:tcBorders>
              <w:top w:val="single" w:color="DDDDDD" w:sz="1"/>
              <w:left w:val="single" w:color="DDDDDD" w:sz="1"/>
              <w:bottom w:val="single" w:color="DDDDDD" w:sz="1"/>
              <w:right w:val="single" w:color="DDDDDD" w:sz="1"/>
            </w:tcBorders>
            <w:shd w:fill="C8E6C9" w:val="clear"/>
            <w:tcMar>
              <w:top w:type="dxa" w:w="60"/>
              <w:left w:type="dxa" w:w="100"/>
              <w:bottom w:type="dxa" w:w="60"/>
              <w:right w:type="dxa" w:w="100"/>
            </w:tcMar>
          </w:tcPr>
          <w:p>
            <w:pPr>
              <w:jc w:val="left"/>
            </w:pPr>
            <w:r>
              <w:rPr>
                <w:rFonts w:ascii="Arial" w:cs="Arial" w:eastAsia="Arial" w:hAnsi="Arial"/>
                <w:b/>
                <w:bCs/>
                <w:color w:val="1A1A1A"/>
                <w:sz w:val="18"/>
                <w:szCs w:val="18"/>
              </w:rPr>
              <w:t xml:space="preserve">&lt; 30 minutes</w:t>
            </w:r>
          </w:p>
        </w:tc>
      </w:tr>
      <w:tr>
        <w:tc>
          <w:tcPr>
            <w:tcW w:type="dxa" w:w="3200"/>
            <w:tcBorders>
              <w:top w:val="single" w:color="DDDDDD" w:sz="1"/>
              <w:left w:val="single" w:color="DDDDDD" w:sz="1"/>
              <w:bottom w:val="single" w:color="DDDDDD" w:sz="1"/>
              <w:right w:val="single" w:color="DDDDDD" w:sz="1"/>
            </w:tcBorders>
            <w:shd w:fill="FDE8EC"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TOTAL — 1,000 VM Production</w:t>
            </w:r>
          </w:p>
        </w:tc>
        <w:tc>
          <w:tcPr>
            <w:tcW w:type="dxa" w:w="3420"/>
            <w:tcBorders>
              <w:top w:val="single" w:color="DDDDDD" w:sz="1"/>
              <w:left w:val="single" w:color="DDDDDD" w:sz="1"/>
              <w:bottom w:val="single" w:color="DDDDDD" w:sz="1"/>
              <w:right w:val="single" w:color="DDDDDD" w:sz="1"/>
            </w:tcBorders>
            <w:shd w:fill="FDE8EC" w:val="clear"/>
            <w:tcMar>
              <w:top w:type="dxa" w:w="60"/>
              <w:left w:type="dxa" w:w="100"/>
              <w:bottom w:type="dxa" w:w="60"/>
              <w:right w:type="dxa" w:w="100"/>
            </w:tcMar>
          </w:tcPr>
          <w:p>
            <w:pPr>
              <w:jc w:val="left"/>
            </w:pPr>
            <w:r>
              <w:rPr>
                <w:rFonts w:ascii="Arial" w:cs="Arial" w:eastAsia="Arial" w:hAnsi="Arial"/>
                <w:b/>
                <w:bCs/>
                <w:color w:val="1A1A1A"/>
                <w:sz w:val="18"/>
                <w:szCs w:val="18"/>
              </w:rPr>
              <w:t xml:space="preserve">1–2 weeks</w:t>
            </w:r>
          </w:p>
        </w:tc>
        <w:tc>
          <w:tcPr>
            <w:tcW w:type="dxa" w:w="3420"/>
            <w:tcBorders>
              <w:top w:val="single" w:color="DDDDDD" w:sz="1"/>
              <w:left w:val="single" w:color="DDDDDD" w:sz="1"/>
              <w:bottom w:val="single" w:color="DDDDDD" w:sz="1"/>
              <w:right w:val="single" w:color="DDDDDD" w:sz="1"/>
            </w:tcBorders>
            <w:shd w:fill="C8E6C9" w:val="clear"/>
            <w:tcMar>
              <w:top w:type="dxa" w:w="60"/>
              <w:left w:type="dxa" w:w="100"/>
              <w:bottom w:type="dxa" w:w="60"/>
              <w:right w:type="dxa" w:w="100"/>
            </w:tcMar>
          </w:tcPr>
          <w:p>
            <w:pPr>
              <w:jc w:val="left"/>
            </w:pPr>
            <w:r>
              <w:rPr>
                <w:rFonts w:ascii="Arial" w:cs="Arial" w:eastAsia="Arial" w:hAnsi="Arial"/>
                <w:b/>
                <w:bCs/>
                <w:color w:val="1A1A1A"/>
                <w:sz w:val="18"/>
                <w:szCs w:val="18"/>
              </w:rPr>
              <w:t xml:space="preserve">&lt; 1 hour</w:t>
            </w:r>
          </w:p>
        </w:tc>
      </w:tr>
    </w:tbl>
    <w:p>
      <w:pPr>
        <w:spacing w:after="60"/>
      </w:pPr>
    </w:p>
    <w:p>
      <w:pPr>
        <w:spacing w:after="120" w:before="280"/>
      </w:pPr>
      <w:r>
        <w:rPr>
          <w:rFonts w:ascii="Arial" w:cs="Arial" w:eastAsia="Arial" w:hAnsi="Arial"/>
          <w:b/>
          <w:bCs/>
          <w:color w:val="E90029"/>
          <w:sz w:val="28"/>
          <w:szCs w:val="28"/>
        </w:rPr>
        <w:t xml:space="preserve">3. Real-World Case Study: AAA Enterprise Deployment</w:t>
      </w:r>
    </w:p>
    <w:p>
      <w:pPr>
        <w:spacing w:after="80" w:line="276"/>
      </w:pPr>
      <w:r>
        <w:rPr>
          <w:rFonts w:ascii="Arial" w:cs="Arial" w:eastAsia="Arial" w:hAnsi="Arial"/>
          <w:color w:val="1A1A1A"/>
          <w:sz w:val="20"/>
          <w:szCs w:val="20"/>
        </w:rPr>
        <w:t xml:space="preserve">A Fortune 500 financial services company (codename: AAA) needed to deploy CloudLens sensors across their VMware vSphere environment with 850+ virtual machines running Ubuntu, RHEL, and Windows Server. The deployment leveraged Ansible Automation Platform (Tower) integrated with their existing VMware inventory and Keysight’s Ansible playbooks for cross-platform sensor installation.</w:t>
      </w:r>
    </w:p>
    <w:p>
      <w:pPr>
        <w:spacing w:after="4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4520"/>
        <w:gridCol w:w="2760"/>
        <w:gridCol w:w="2760"/>
      </w:tblGrid>
      <w:tr>
        <w:tc>
          <w:tcPr>
            <w:tcW w:type="dxa" w:w="4520"/>
            <w:tcBorders>
              <w:top w:val="single" w:color="DDDDDD" w:sz="1"/>
              <w:left w:val="single" w:color="DDDDDD" w:sz="1"/>
              <w:bottom w:val="single" w:color="DDDDDD" w:sz="1"/>
              <w:right w:val="single" w:color="DDDDDD" w:sz="1"/>
            </w:tcBorders>
            <w:shd w:fill="E90029"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760"/>
            <w:tcBorders>
              <w:top w:val="single" w:color="DDDDDD" w:sz="1"/>
              <w:left w:val="single" w:color="DDDDDD" w:sz="1"/>
              <w:bottom w:val="single" w:color="DDDDDD" w:sz="1"/>
              <w:right w:val="single" w:color="DDDDDD" w:sz="1"/>
            </w:tcBorders>
            <w:shd w:fill="E90029" w:val="clear"/>
            <w:tcMar>
              <w:top w:type="dxa" w:w="60"/>
              <w:left w:type="dxa" w:w="100"/>
              <w:bottom w:type="dxa" w:w="60"/>
              <w:right w:type="dxa" w:w="100"/>
            </w:tcMar>
          </w:tcPr>
          <w:p>
            <w:r>
              <w:rPr>
                <w:rFonts w:ascii="Arial" w:cs="Arial" w:eastAsia="Arial" w:hAnsi="Arial"/>
                <w:b/>
                <w:bCs/>
                <w:color w:val="FFFFFF"/>
                <w:sz w:val="18"/>
                <w:szCs w:val="18"/>
              </w:rPr>
              <w:t xml:space="preserve">Manual Estimate</w:t>
            </w:r>
          </w:p>
        </w:tc>
        <w:tc>
          <w:tcPr>
            <w:tcW w:type="dxa" w:w="2760"/>
            <w:tcBorders>
              <w:top w:val="single" w:color="DDDDDD" w:sz="1"/>
              <w:left w:val="single" w:color="DDDDDD" w:sz="1"/>
              <w:bottom w:val="single" w:color="DDDDDD" w:sz="1"/>
              <w:right w:val="single" w:color="DDDDDD" w:sz="1"/>
            </w:tcBorders>
            <w:shd w:fill="E90029" w:val="clear"/>
            <w:tcMar>
              <w:top w:type="dxa" w:w="60"/>
              <w:left w:type="dxa" w:w="100"/>
              <w:bottom w:type="dxa" w:w="60"/>
              <w:right w:type="dxa" w:w="100"/>
            </w:tcMar>
          </w:tcPr>
          <w:p>
            <w:r>
              <w:rPr>
                <w:rFonts w:ascii="Arial" w:cs="Arial" w:eastAsia="Arial" w:hAnsi="Arial"/>
                <w:b/>
                <w:bCs/>
                <w:color w:val="FFFFFF"/>
                <w:sz w:val="18"/>
                <w:szCs w:val="18"/>
              </w:rPr>
              <w:t xml:space="preserve">Actual (Automated)</w:t>
            </w:r>
          </w:p>
        </w:tc>
      </w:tr>
      <w:tr>
        <w:tc>
          <w:tcPr>
            <w:tcW w:type="dxa" w:w="45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Total VMs instrumented</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1A1A1A"/>
                <w:sz w:val="18"/>
                <w:szCs w:val="18"/>
              </w:rPr>
              <w:t xml:space="preserve">847</w:t>
            </w:r>
          </w:p>
        </w:tc>
      </w:tr>
      <w:tr>
        <w:tc>
          <w:tcPr>
            <w:tcW w:type="dxa" w:w="45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Ubuntu VMs (Docker sensor)</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312</w:t>
            </w:r>
          </w:p>
        </w:tc>
      </w:tr>
      <w:tr>
        <w:tc>
          <w:tcPr>
            <w:tcW w:type="dxa" w:w="45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RHEL VMs (Podman sensor)</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389</w:t>
            </w:r>
          </w:p>
        </w:tc>
      </w:tr>
      <w:tr>
        <w:tc>
          <w:tcPr>
            <w:tcW w:type="dxa" w:w="45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Windows VMs (.EXE sensor)</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146</w:t>
            </w:r>
          </w:p>
        </w:tc>
      </w:tr>
      <w:tr>
        <w:tc>
          <w:tcPr>
            <w:tcW w:type="dxa" w:w="45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Sensor deployment time</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5–7 business days</w:t>
            </w:r>
          </w:p>
        </w:tc>
        <w:tc>
          <w:tcPr>
            <w:tcW w:type="dxa" w:w="2760"/>
            <w:tcBorders>
              <w:top w:val="single" w:color="DDDDDD" w:sz="1"/>
              <w:left w:val="single" w:color="DDDDDD" w:sz="1"/>
              <w:bottom w:val="single" w:color="DDDDDD" w:sz="1"/>
              <w:right w:val="single" w:color="DDDDDD" w:sz="1"/>
            </w:tcBorders>
            <w:shd w:fill="C8E6C9"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45 minutes</w:t>
            </w:r>
          </w:p>
        </w:tc>
      </w:tr>
      <w:tr>
        <w:tc>
          <w:tcPr>
            <w:tcW w:type="dxa" w:w="45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Infrastructure provisioning</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1–2 days</w:t>
            </w:r>
          </w:p>
        </w:tc>
        <w:tc>
          <w:tcPr>
            <w:tcW w:type="dxa" w:w="2760"/>
            <w:tcBorders>
              <w:top w:val="single" w:color="DDDDDD" w:sz="1"/>
              <w:left w:val="single" w:color="DDDDDD" w:sz="1"/>
              <w:bottom w:val="single" w:color="DDDDDD" w:sz="1"/>
              <w:right w:val="single" w:color="DDDDDD" w:sz="1"/>
            </w:tcBorders>
            <w:shd w:fill="C8E6C9"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8 minutes</w:t>
            </w:r>
          </w:p>
        </w:tc>
      </w:tr>
      <w:tr>
        <w:tc>
          <w:tcPr>
            <w:tcW w:type="dxa" w:w="45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SE hours required</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40–60 hours</w:t>
            </w:r>
          </w:p>
        </w:tc>
        <w:tc>
          <w:tcPr>
            <w:tcW w:type="dxa" w:w="2760"/>
            <w:tcBorders>
              <w:top w:val="single" w:color="DDDDDD" w:sz="1"/>
              <w:left w:val="single" w:color="DDDDDD" w:sz="1"/>
              <w:bottom w:val="single" w:color="DDDDDD" w:sz="1"/>
              <w:right w:val="single" w:color="DDDDDD" w:sz="1"/>
            </w:tcBorders>
            <w:shd w:fill="C8E6C9"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3 hours</w:t>
            </w:r>
          </w:p>
        </w:tc>
      </w:tr>
      <w:tr>
        <w:tc>
          <w:tcPr>
            <w:tcW w:type="dxa" w:w="45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Deployment errors / rollbacks</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8–12 per deployment</w:t>
            </w:r>
          </w:p>
        </w:tc>
        <w:tc>
          <w:tcPr>
            <w:tcW w:type="dxa" w:w="2760"/>
            <w:tcBorders>
              <w:top w:val="single" w:color="DDDDDD" w:sz="1"/>
              <w:left w:val="single" w:color="DDDDDD" w:sz="1"/>
              <w:bottom w:val="single" w:color="DDDDDD" w:sz="1"/>
              <w:right w:val="single" w:color="DDDDDD" w:sz="1"/>
            </w:tcBorders>
            <w:shd w:fill="C8E6C9"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0</w:t>
            </w:r>
          </w:p>
        </w:tc>
      </w:tr>
      <w:tr>
        <w:tc>
          <w:tcPr>
            <w:tcW w:type="dxa" w:w="4520"/>
            <w:tcBorders>
              <w:top w:val="single" w:color="DDDDDD" w:sz="1"/>
              <w:left w:val="single" w:color="DDDDDD" w:sz="1"/>
              <w:bottom w:val="single" w:color="DDDDDD" w:sz="1"/>
              <w:right w:val="single" w:color="DDDDDD" w:sz="1"/>
            </w:tcBorders>
            <w:shd w:fill="FDE8EC"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Time to first packet visibility</w:t>
            </w:r>
          </w:p>
        </w:tc>
        <w:tc>
          <w:tcPr>
            <w:tcW w:type="dxa" w:w="2760"/>
            <w:tcBorders>
              <w:top w:val="single" w:color="DDDDDD" w:sz="1"/>
              <w:left w:val="single" w:color="DDDDDD" w:sz="1"/>
              <w:bottom w:val="single" w:color="DDDDDD" w:sz="1"/>
              <w:right w:val="single" w:color="DDDDDD" w:sz="1"/>
            </w:tcBorders>
            <w:shd w:fill="FDE8EC"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7–10 business days</w:t>
            </w:r>
          </w:p>
        </w:tc>
        <w:tc>
          <w:tcPr>
            <w:tcW w:type="dxa" w:w="2760"/>
            <w:tcBorders>
              <w:top w:val="single" w:color="DDDDDD" w:sz="1"/>
              <w:left w:val="single" w:color="DDDDDD" w:sz="1"/>
              <w:bottom w:val="single" w:color="DDDDDD" w:sz="1"/>
              <w:right w:val="single" w:color="DDDDDD" w:sz="1"/>
            </w:tcBorders>
            <w:shd w:fill="C8E6C9"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&lt; 1 hour</w:t>
            </w:r>
          </w:p>
        </w:tc>
      </w:tr>
    </w:tbl>
    <w:p>
      <w:pPr>
        <w:spacing w:after="20"/>
      </w:pPr>
    </w:p>
    <w:p>
      <w:pPr>
        <w:spacing w:after="60" w:before="60"/>
      </w:pPr>
      <w:r>
        <w:rPr>
          <w:rFonts w:ascii="Arial" w:cs="Arial" w:eastAsia="Arial" w:hAnsi="Arial"/>
          <w:i/>
          <w:iCs/>
          <w:color w:val="666666"/>
          <w:sz w:val="18"/>
          <w:szCs w:val="18"/>
        </w:rPr>
        <w:t xml:space="preserve">* AAA deployment used Ansible Automation Platform (Tower) with Keysight’s cross-platform playbooks (ubuntu.yaml, redhat.yaml, windows.yaml) targeting VMware vSphere inventory.</w:t>
      </w:r>
    </w:p>
    <w:p>
      <w:pPr>
        <w:spacing w:after="60"/>
      </w:pPr>
    </w:p>
    <w:p>
      <w:r>
        <w:br w:type="page"/>
      </w:r>
    </w:p>
    <w:p>
      <w:pPr>
        <w:spacing w:after="120" w:before="280"/>
      </w:pPr>
      <w:r>
        <w:rPr>
          <w:rFonts w:ascii="Arial" w:cs="Arial" w:eastAsia="Arial" w:hAnsi="Arial"/>
          <w:b/>
          <w:bCs/>
          <w:color w:val="E90029"/>
          <w:sz w:val="28"/>
          <w:szCs w:val="28"/>
        </w:rPr>
        <w:t xml:space="preserve">4. Competitive Analysis: CloudLens vs. Gigamon</w:t>
      </w:r>
    </w:p>
    <w:p>
      <w:pPr>
        <w:spacing w:after="80" w:line="276"/>
      </w:pPr>
      <w:r>
        <w:rPr>
          <w:rFonts w:ascii="Arial" w:cs="Arial" w:eastAsia="Arial" w:hAnsi="Arial"/>
          <w:color w:val="1A1A1A"/>
          <w:sz w:val="20"/>
          <w:szCs w:val="20"/>
        </w:rPr>
        <w:t xml:space="preserve">Gigamon GigaVUE Cloud Suite is the primary competitor. AutoPilot directly addresses and surpasses Gigamon’s deployment model across every dimension:</w:t>
      </w:r>
    </w:p>
    <w:p>
      <w:pPr>
        <w:spacing w:after="4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00"/>
        <w:gridCol w:w="3920"/>
        <w:gridCol w:w="3920"/>
      </w:tblGrid>
      <w:tr>
        <w:tc>
          <w:tcPr>
            <w:tcW w:type="dxa" w:w="2200"/>
            <w:tcBorders>
              <w:top w:val="single" w:color="DDDDDD" w:sz="1"/>
              <w:left w:val="single" w:color="DDDDDD" w:sz="1"/>
              <w:bottom w:val="single" w:color="DDDDDD" w:sz="1"/>
              <w:right w:val="single" w:color="DDDDDD" w:sz="1"/>
            </w:tcBorders>
            <w:shd w:fill="E90029" w:val="clear"/>
            <w:tcMar>
              <w:top w:type="dxa" w:w="60"/>
              <w:left w:type="dxa" w:w="100"/>
              <w:bottom w:type="dxa" w:w="60"/>
              <w:right w:type="dxa" w:w="100"/>
            </w:tcMar>
          </w:tcPr>
          <w:p>
            <w:r>
              <w:rPr>
                <w:rFonts w:ascii="Arial" w:cs="Arial" w:eastAsia="Arial" w:hAnsi="Arial"/>
                <w:b/>
                <w:bCs/>
                <w:color w:val="FFFFFF"/>
                <w:sz w:val="18"/>
                <w:szCs w:val="18"/>
              </w:rPr>
              <w:t xml:space="preserve">Capability</w:t>
            </w:r>
          </w:p>
        </w:tc>
        <w:tc>
          <w:tcPr>
            <w:tcW w:type="dxa" w:w="3920"/>
            <w:tcBorders>
              <w:top w:val="single" w:color="DDDDDD" w:sz="1"/>
              <w:left w:val="single" w:color="DDDDDD" w:sz="1"/>
              <w:bottom w:val="single" w:color="DDDDDD" w:sz="1"/>
              <w:right w:val="single" w:color="DDDDDD" w:sz="1"/>
            </w:tcBorders>
            <w:shd w:fill="E90029" w:val="clear"/>
            <w:tcMar>
              <w:top w:type="dxa" w:w="60"/>
              <w:left w:type="dxa" w:w="100"/>
              <w:bottom w:type="dxa" w:w="60"/>
              <w:right w:type="dxa" w:w="100"/>
            </w:tcMar>
          </w:tcPr>
          <w:p>
            <w:r>
              <w:rPr>
                <w:rFonts w:ascii="Arial" w:cs="Arial" w:eastAsia="Arial" w:hAnsi="Arial"/>
                <w:b/>
                <w:bCs/>
                <w:color w:val="FFFFFF"/>
                <w:sz w:val="18"/>
                <w:szCs w:val="18"/>
              </w:rPr>
              <w:t xml:space="preserve">Gigamon GigaVUE</w:t>
            </w:r>
          </w:p>
        </w:tc>
        <w:tc>
          <w:tcPr>
            <w:tcW w:type="dxa" w:w="3920"/>
            <w:tcBorders>
              <w:top w:val="single" w:color="DDDDDD" w:sz="1"/>
              <w:left w:val="single" w:color="DDDDDD" w:sz="1"/>
              <w:bottom w:val="single" w:color="DDDDDD" w:sz="1"/>
              <w:right w:val="single" w:color="DDDDDD" w:sz="1"/>
            </w:tcBorders>
            <w:shd w:fill="E90029" w:val="clear"/>
            <w:tcMar>
              <w:top w:type="dxa" w:w="60"/>
              <w:left w:type="dxa" w:w="100"/>
              <w:bottom w:type="dxa" w:w="60"/>
              <w:right w:type="dxa" w:w="100"/>
            </w:tcMar>
          </w:tcPr>
          <w:p>
            <w:r>
              <w:rPr>
                <w:rFonts w:ascii="Arial" w:cs="Arial" w:eastAsia="Arial" w:hAnsi="Arial"/>
                <w:b/>
                <w:bCs/>
                <w:color w:val="FFFFFF"/>
                <w:sz w:val="18"/>
                <w:szCs w:val="18"/>
              </w:rPr>
              <w:t xml:space="preserve">Keysight CloudLens AutoPilot</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Deployment</w:t>
            </w:r>
          </w:p>
        </w:tc>
        <w:tc>
          <w:tcPr>
            <w:tcW w:type="dxa" w:w="39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Single CFT for FM only; V Series deployed manually from FM UI</w:t>
            </w:r>
          </w:p>
        </w:tc>
        <w:tc>
          <w:tcPr>
            <w:tcW w:type="dxa" w:w="392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Full-stack IaC (Terraform + CFT) deploys everything in one command</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Time to Deploy</w:t>
            </w:r>
          </w:p>
        </w:tc>
        <w:tc>
          <w:tcPr>
            <w:tcW w:type="dxa" w:w="39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30–60 min (FM + V Series + monitoring config)</w:t>
            </w:r>
          </w:p>
        </w:tc>
        <w:tc>
          <w:tcPr>
            <w:tcW w:type="dxa" w:w="392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5 min infra + 10 min config = 15 min total</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Agent Deploy</w:t>
            </w:r>
          </w:p>
        </w:tc>
        <w:tc>
          <w:tcPr>
            <w:tcW w:type="dxa" w:w="39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Customer’s responsibility (manual UCT-V via SSH)</w:t>
            </w:r>
          </w:p>
        </w:tc>
        <w:tc>
          <w:tcPr>
            <w:tcW w:type="dxa" w:w="392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Ansible Tower (private cloud) or SSM (AWS) to 1,000+ VMs in one command</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Auto-Mirror</w:t>
            </w:r>
          </w:p>
        </w:tc>
        <w:tc>
          <w:tcPr>
            <w:tcW w:type="dxa" w:w="39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FM polls AWS APIs on interval (latency: seconds–minutes)</w:t>
            </w:r>
          </w:p>
        </w:tc>
        <w:tc>
          <w:tcPr>
            <w:tcW w:type="dxa" w:w="392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EventBridge fires instantly on launch (sub-second)</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Licensing</w:t>
            </w:r>
          </w:p>
        </w:tc>
        <w:tc>
          <w:tcPr>
            <w:tcW w:type="dxa" w:w="39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BYOL only — must contact sales first</w:t>
            </w:r>
          </w:p>
        </w:tc>
        <w:tc>
          <w:tcPr>
            <w:tcW w:type="dxa" w:w="392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AWS Marketplace subscriptions — deploy immediately</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Self-Service</w:t>
            </w:r>
          </w:p>
        </w:tc>
        <w:tc>
          <w:tcPr>
            <w:tcW w:type="dxa" w:w="39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No portal — requires FM UI training</w:t>
            </w:r>
          </w:p>
        </w:tc>
        <w:tc>
          <w:tcPr>
            <w:tcW w:type="dxa" w:w="392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HTML form + CloudFormation Console (zero-install)</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Multi-Platform</w:t>
            </w:r>
          </w:p>
        </w:tc>
        <w:tc>
          <w:tcPr>
            <w:tcW w:type="dxa" w:w="39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UCT-V single binary (no container)</w:t>
            </w:r>
          </w:p>
        </w:tc>
        <w:tc>
          <w:tcPr>
            <w:tcW w:type="dxa" w:w="392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Docker (Ubuntu), Podman (RHEL), .EXE (Windows), Helm (K8s)</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Private Cloud</w:t>
            </w:r>
          </w:p>
        </w:tc>
        <w:tc>
          <w:tcPr>
            <w:tcW w:type="dxa" w:w="39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VMware NSX integration only</w:t>
            </w:r>
          </w:p>
        </w:tc>
        <w:tc>
          <w:tcPr>
            <w:tcW w:type="dxa" w:w="392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Ansible Tower for VMware/OpenStack/Nutanix + manual playbooks</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Existing Infra</w:t>
            </w:r>
          </w:p>
        </w:tc>
        <w:tc>
          <w:tcPr>
            <w:tcW w:type="dxa" w:w="392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Manual subnet/SG config in FM</w:t>
            </w:r>
          </w:p>
        </w:tc>
        <w:tc>
          <w:tcPr>
            <w:tcW w:type="dxa" w:w="392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Dedicated existing-vpc template — provide VPC/subnet IDs only</w:t>
            </w:r>
          </w:p>
        </w:tc>
      </w:tr>
    </w:tbl>
    <w:p>
      <w:pPr>
        <w:spacing w:after="80"/>
      </w:pPr>
    </w:p>
    <w:p>
      <w:pPr>
        <w:spacing w:after="120" w:before="280"/>
      </w:pPr>
      <w:r>
        <w:rPr>
          <w:rFonts w:ascii="Arial" w:cs="Arial" w:eastAsia="Arial" w:hAnsi="Arial"/>
          <w:b/>
          <w:bCs/>
          <w:color w:val="E90029"/>
          <w:sz w:val="28"/>
          <w:szCs w:val="28"/>
        </w:rPr>
        <w:t xml:space="preserve">5. Platform Coverage: Public + Private Cloud</w:t>
      </w:r>
    </w:p>
    <w:p>
      <w:pPr>
        <w:spacing w:after="80" w:line="276"/>
      </w:pPr>
      <w:r>
        <w:rPr>
          <w:rFonts w:ascii="Arial" w:cs="Arial" w:eastAsia="Arial" w:hAnsi="Arial"/>
          <w:color w:val="1A1A1A"/>
          <w:sz w:val="20"/>
          <w:szCs w:val="20"/>
        </w:rPr>
        <w:t xml:space="preserve">CloudLens AutoPilot provides unified visibility automation across all major cloud platforms, with dedicated deployment paths for each environment:</w:t>
      </w:r>
    </w:p>
    <w:p>
      <w:pPr>
        <w:spacing w:after="4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800"/>
        <w:gridCol w:w="2440"/>
      </w:tblGrid>
      <w:tr>
        <w:tc>
          <w:tcPr>
            <w:tcW w:type="dxa" w:w="2000"/>
            <w:tcBorders>
              <w:top w:val="single" w:color="DDDDDD" w:sz="1"/>
              <w:left w:val="single" w:color="DDDDDD" w:sz="1"/>
              <w:bottom w:val="single" w:color="DDDDDD" w:sz="1"/>
              <w:right w:val="single" w:color="DDDDDD" w:sz="1"/>
            </w:tcBorders>
            <w:shd w:fill="E90029" w:val="clear"/>
            <w:tcMar>
              <w:top w:type="dxa" w:w="60"/>
              <w:left w:type="dxa" w:w="100"/>
              <w:bottom w:type="dxa" w:w="60"/>
              <w:right w:type="dxa" w:w="100"/>
            </w:tcMar>
          </w:tcPr>
          <w:p>
            <w:r>
              <w:rPr>
                <w:rFonts w:ascii="Arial" w:cs="Arial" w:eastAsia="Arial" w:hAnsi="Arial"/>
                <w:b/>
                <w:bCs/>
                <w:color w:val="FFFFFF"/>
                <w:sz w:val="18"/>
                <w:szCs w:val="18"/>
              </w:rPr>
              <w:t xml:space="preserve">Platform</w:t>
            </w:r>
          </w:p>
        </w:tc>
        <w:tc>
          <w:tcPr>
            <w:tcW w:type="dxa" w:w="1800"/>
            <w:tcBorders>
              <w:top w:val="single" w:color="DDDDDD" w:sz="1"/>
              <w:left w:val="single" w:color="DDDDDD" w:sz="1"/>
              <w:bottom w:val="single" w:color="DDDDDD" w:sz="1"/>
              <w:right w:val="single" w:color="DDDDDD" w:sz="1"/>
            </w:tcBorders>
            <w:shd w:fill="E90029" w:val="clear"/>
            <w:tcMar>
              <w:top w:type="dxa" w:w="60"/>
              <w:left w:type="dxa" w:w="100"/>
              <w:bottom w:type="dxa" w:w="60"/>
              <w:right w:type="dxa" w:w="100"/>
            </w:tcMar>
          </w:tcPr>
          <w:p>
            <w:r>
              <w:rPr>
                <w:rFonts w:ascii="Arial" w:cs="Arial" w:eastAsia="Arial" w:hAnsi="Arial"/>
                <w:b/>
                <w:bCs/>
                <w:color w:val="FFFFFF"/>
                <w:sz w:val="18"/>
                <w:szCs w:val="18"/>
              </w:rPr>
              <w:t xml:space="preserve">Sensor Type</w:t>
            </w:r>
          </w:p>
        </w:tc>
        <w:tc>
          <w:tcPr>
            <w:tcW w:type="dxa" w:w="2000"/>
            <w:tcBorders>
              <w:top w:val="single" w:color="DDDDDD" w:sz="1"/>
              <w:left w:val="single" w:color="DDDDDD" w:sz="1"/>
              <w:bottom w:val="single" w:color="DDDDDD" w:sz="1"/>
              <w:right w:val="single" w:color="DDDDDD" w:sz="1"/>
            </w:tcBorders>
            <w:shd w:fill="E90029" w:val="clear"/>
            <w:tcMar>
              <w:top w:type="dxa" w:w="60"/>
              <w:left w:type="dxa" w:w="100"/>
              <w:bottom w:type="dxa" w:w="60"/>
              <w:right w:type="dxa" w:w="100"/>
            </w:tcMar>
          </w:tcPr>
          <w:p>
            <w:r>
              <w:rPr>
                <w:rFonts w:ascii="Arial" w:cs="Arial" w:eastAsia="Arial" w:hAnsi="Arial"/>
                <w:b/>
                <w:bCs/>
                <w:color w:val="FFFFFF"/>
                <w:sz w:val="18"/>
                <w:szCs w:val="18"/>
              </w:rPr>
              <w:t xml:space="preserve">Deployment</w:t>
            </w:r>
          </w:p>
        </w:tc>
        <w:tc>
          <w:tcPr>
            <w:tcW w:type="dxa" w:w="1800"/>
            <w:tcBorders>
              <w:top w:val="single" w:color="DDDDDD" w:sz="1"/>
              <w:left w:val="single" w:color="DDDDDD" w:sz="1"/>
              <w:bottom w:val="single" w:color="DDDDDD" w:sz="1"/>
              <w:right w:val="single" w:color="DDDDDD" w:sz="1"/>
            </w:tcBorders>
            <w:shd w:fill="E90029" w:val="clear"/>
            <w:tcMar>
              <w:top w:type="dxa" w:w="60"/>
              <w:left w:type="dxa" w:w="100"/>
              <w:bottom w:type="dxa" w:w="60"/>
              <w:right w:type="dxa" w:w="100"/>
            </w:tcMar>
          </w:tcPr>
          <w:p>
            <w:r>
              <w:rPr>
                <w:rFonts w:ascii="Arial" w:cs="Arial" w:eastAsia="Arial" w:hAnsi="Arial"/>
                <w:b/>
                <w:bCs/>
                <w:color w:val="FFFFFF"/>
                <w:sz w:val="18"/>
                <w:szCs w:val="18"/>
              </w:rPr>
              <w:t xml:space="preserve">Scale</w:t>
            </w:r>
          </w:p>
        </w:tc>
        <w:tc>
          <w:tcPr>
            <w:tcW w:type="dxa" w:w="2440"/>
            <w:tcBorders>
              <w:top w:val="single" w:color="DDDDDD" w:sz="1"/>
              <w:left w:val="single" w:color="DDDDDD" w:sz="1"/>
              <w:bottom w:val="single" w:color="DDDDDD" w:sz="1"/>
              <w:right w:val="single" w:color="DDDDDD" w:sz="1"/>
            </w:tcBorders>
            <w:shd w:fill="E90029"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AWS EC2 (Linux)</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Docker / Podman</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Ansible / SSM</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1,000+ VMs</w:t>
            </w:r>
          </w:p>
        </w:tc>
        <w:tc>
          <w:tcPr>
            <w:tcW w:type="dxa" w:w="2440"/>
            <w:tcBorders>
              <w:top w:val="single" w:color="DDDDDD" w:sz="1"/>
              <w:left w:val="single" w:color="DDDDDD" w:sz="1"/>
              <w:bottom w:val="single" w:color="DDDDDD" w:sz="1"/>
              <w:right w:val="single" w:color="DDDDDD" w:sz="1"/>
            </w:tcBorders>
            <w:shd w:fill="C8E6C9"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Production Ready</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AWS EC2 (Windows)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.EXE installer</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Ansible / SSM</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1,000+ VMs</w:t>
            </w:r>
          </w:p>
        </w:tc>
        <w:tc>
          <w:tcPr>
            <w:tcW w:type="dxa" w:w="2440"/>
            <w:tcBorders>
              <w:top w:val="single" w:color="DDDDDD" w:sz="1"/>
              <w:left w:val="single" w:color="DDDDDD" w:sz="1"/>
              <w:bottom w:val="single" w:color="DDDDDD" w:sz="1"/>
              <w:right w:val="single" w:color="DDDDDD" w:sz="1"/>
            </w:tcBorders>
            <w:shd w:fill="C8E6C9"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Production Ready</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AWS EKS / K8s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DaemonSet + Sidecar</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Helm / kubectl</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500+ pods</w:t>
            </w:r>
          </w:p>
        </w:tc>
        <w:tc>
          <w:tcPr>
            <w:tcW w:type="dxa" w:w="2440"/>
            <w:tcBorders>
              <w:top w:val="single" w:color="DDDDDD" w:sz="1"/>
              <w:left w:val="single" w:color="DDDDDD" w:sz="1"/>
              <w:bottom w:val="single" w:color="DDDDDD" w:sz="1"/>
              <w:right w:val="single" w:color="DDDDDD" w:sz="1"/>
            </w:tcBorders>
            <w:shd w:fill="C8E6C9"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Production Ready</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AWS VPC Mirror</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Agentless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Lambda + EventBridge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Nitro instances</w:t>
            </w:r>
          </w:p>
        </w:tc>
        <w:tc>
          <w:tcPr>
            <w:tcW w:type="dxa" w:w="2440"/>
            <w:tcBorders>
              <w:top w:val="single" w:color="DDDDDD" w:sz="1"/>
              <w:left w:val="single" w:color="DDDDDD" w:sz="1"/>
              <w:bottom w:val="single" w:color="DDDDDD" w:sz="1"/>
              <w:right w:val="single" w:color="DDDDDD" w:sz="1"/>
            </w:tcBorders>
            <w:shd w:fill="C8E6C9"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Production Ready</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VMware vSphere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Docker / Podman</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Ansible Tower</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847 VMs (AAA)</w:t>
            </w:r>
          </w:p>
        </w:tc>
        <w:tc>
          <w:tcPr>
            <w:tcW w:type="dxa" w:w="2440"/>
            <w:tcBorders>
              <w:top w:val="single" w:color="DDDDDD" w:sz="1"/>
              <w:left w:val="single" w:color="DDDDDD" w:sz="1"/>
              <w:bottom w:val="single" w:color="DDDDDD" w:sz="1"/>
              <w:right w:val="single" w:color="DDDDDD" w:sz="1"/>
            </w:tcBorders>
            <w:shd w:fill="C8E6C9" w:val="clear"/>
            <w:tcMar>
              <w:top w:type="dxa" w:w="60"/>
              <w:left w:type="dxa" w:w="100"/>
              <w:bottom w:type="dxa" w:w="60"/>
              <w:right w:type="dxa" w:w="100"/>
            </w:tcMar>
          </w:tcPr>
          <w:p>
            <w:pPr>
              <w:jc w:val="left"/>
            </w:pPr>
            <w:r>
              <w:rPr>
                <w:rFonts w:ascii="Arial" w:cs="Arial" w:eastAsia="Arial" w:hAnsi="Arial"/>
                <w:b/>
                <w:bCs/>
                <w:color w:val="1A1A1A"/>
                <w:sz w:val="18"/>
                <w:szCs w:val="18"/>
              </w:rPr>
              <w:t xml:space="preserve">Production Ready</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Azure VMs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Docker / Podman</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Terraform + Ansible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1,000+ VMs</w:t>
            </w:r>
          </w:p>
        </w:tc>
        <w:tc>
          <w:tcPr>
            <w:tcW w:type="dxa" w:w="244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pPr>
              <w:jc w:val="left"/>
            </w:pPr>
            <w:r>
              <w:rPr>
                <w:rFonts w:ascii="Arial" w:cs="Arial" w:eastAsia="Arial" w:hAnsi="Arial"/>
                <w:b/>
                <w:bCs/>
                <w:color w:val="1A1A1A"/>
                <w:sz w:val="18"/>
                <w:szCs w:val="18"/>
              </w:rPr>
              <w:t xml:space="preserve">In Development</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Azure AKS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DaemonSet</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Helm</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500+ pods</w:t>
            </w:r>
          </w:p>
        </w:tc>
        <w:tc>
          <w:tcPr>
            <w:tcW w:type="dxa" w:w="244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pPr>
              <w:jc w:val="left"/>
            </w:pPr>
            <w:r>
              <w:rPr>
                <w:rFonts w:ascii="Arial" w:cs="Arial" w:eastAsia="Arial" w:hAnsi="Arial"/>
                <w:b/>
                <w:bCs/>
                <w:color w:val="1A1A1A"/>
                <w:sz w:val="18"/>
                <w:szCs w:val="18"/>
              </w:rPr>
              <w:t xml:space="preserve">In Development</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Azure VNet TAP</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Agentless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Azure Functions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Auto</w:t>
            </w:r>
          </w:p>
        </w:tc>
        <w:tc>
          <w:tcPr>
            <w:tcW w:type="dxa" w:w="244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Research Phase</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GCP VMs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Docker / Podman</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Terraform + Ansible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1,000+ VMs</w:t>
            </w:r>
          </w:p>
        </w:tc>
        <w:tc>
          <w:tcPr>
            <w:tcW w:type="dxa" w:w="244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pPr>
              <w:jc w:val="left"/>
            </w:pPr>
            <w:r>
              <w:rPr>
                <w:rFonts w:ascii="Arial" w:cs="Arial" w:eastAsia="Arial" w:hAnsi="Arial"/>
                <w:b/>
                <w:bCs/>
                <w:color w:val="1A1A1A"/>
                <w:sz w:val="18"/>
                <w:szCs w:val="18"/>
              </w:rPr>
              <w:t xml:space="preserve">In Development</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GCP GKE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DaemonSet</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Helm</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500+ pods</w:t>
            </w:r>
          </w:p>
        </w:tc>
        <w:tc>
          <w:tcPr>
            <w:tcW w:type="dxa" w:w="244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 Development</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GCP Packet Mirror</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Agentless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Cloud Functions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Auto</w:t>
            </w:r>
          </w:p>
        </w:tc>
        <w:tc>
          <w:tcPr>
            <w:tcW w:type="dxa" w:w="244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Research Phase</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OpenStack</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Docker / Podman</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Ansible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Varies</w:t>
            </w:r>
          </w:p>
        </w:tc>
        <w:tc>
          <w:tcPr>
            <w:tcW w:type="dxa" w:w="244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Research Phase</w:t>
            </w:r>
          </w:p>
        </w:tc>
      </w:tr>
      <w:tr>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Nutanix AHV</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Docker / Podman</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Ansible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Varies</w:t>
            </w:r>
          </w:p>
        </w:tc>
        <w:tc>
          <w:tcPr>
            <w:tcW w:type="dxa" w:w="2440"/>
            <w:tcBorders>
              <w:top w:val="single" w:color="DDDDDD" w:sz="1"/>
              <w:left w:val="single" w:color="DDDDDD" w:sz="1"/>
              <w:bottom w:val="single" w:color="DDDDDD" w:sz="1"/>
              <w:right w:val="single" w:color="DDDDDD" w:sz="1"/>
            </w:tcBorders>
            <w:shd w:fill="FFF3E0"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Research Phase</w:t>
            </w:r>
          </w:p>
        </w:tc>
      </w:tr>
    </w:tbl>
    <w:p>
      <w:pPr>
        <w:spacing w:after="20"/>
      </w:pPr>
    </w:p>
    <w:p>
      <w:pPr>
        <w:spacing w:after="60" w:before="60"/>
      </w:pPr>
      <w:r>
        <w:rPr>
          <w:rFonts w:ascii="Arial" w:cs="Arial" w:eastAsia="Arial" w:hAnsi="Arial"/>
          <w:i/>
          <w:iCs/>
          <w:color w:val="666666"/>
          <w:sz w:val="18"/>
          <w:szCs w:val="18"/>
        </w:rPr>
        <w:t xml:space="preserve">* “In Development” features are actively being built with target delivery in Q3–Q4 2026. “Research Phase” items are under evaluation with feasibility studies in progress.</w:t>
      </w:r>
    </w:p>
    <w:p>
      <w:pPr>
        <w:spacing w:after="60"/>
      </w:pPr>
    </w:p>
    <w:p>
      <w:pPr>
        <w:spacing w:after="120" w:before="280"/>
      </w:pPr>
      <w:r>
        <w:rPr>
          <w:rFonts w:ascii="Arial" w:cs="Arial" w:eastAsia="Arial" w:hAnsi="Arial"/>
          <w:b/>
          <w:bCs/>
          <w:color w:val="E90029"/>
          <w:sz w:val="28"/>
          <w:szCs w:val="28"/>
        </w:rPr>
        <w:t xml:space="preserve">6. Automation Toolchain Delivered</w:t>
      </w:r>
    </w:p>
    <w:p>
      <w:pPr>
        <w:spacing w:after="20"/>
      </w:pPr>
    </w:p>
    <w:p>
      <w:pPr>
        <w:spacing w:after="80" w:before="200"/>
      </w:pPr>
      <w:r>
        <w:rPr>
          <w:rFonts w:ascii="Arial" w:cs="Arial" w:eastAsia="Arial" w:hAnsi="Arial"/>
          <w:b/>
          <w:bCs/>
          <w:color w:val="1A1A1A"/>
          <w:sz w:val="22"/>
          <w:szCs w:val="22"/>
        </w:rPr>
        <w:t xml:space="preserve">Infrastructure as Code</w:t>
      </w:r>
    </w:p>
    <w:p>
      <w:pPr>
        <w:pStyle w:val="ListParagraph"/>
        <w:numPr>
          <w:ilvl w:val="0"/>
          <w:numId w:val="2"/>
        </w:numPr>
        <w:spacing w:after="40" w:line="264"/>
      </w:pPr>
      <w:r>
        <w:rPr>
          <w:rFonts w:ascii="Arial" w:cs="Arial" w:eastAsia="Arial" w:hAnsi="Arial"/>
          <w:b/>
          <w:bCs/>
          <w:color w:val="1A1A1A"/>
          <w:sz w:val="20"/>
          <w:szCs w:val="20"/>
        </w:rPr>
        <w:t xml:space="preserve">Terraform Module: </w:t>
      </w:r>
      <w:r>
        <w:rPr>
          <w:rFonts w:ascii="Arial" w:cs="Arial" w:eastAsia="Arial" w:hAnsi="Arial"/>
          <w:color w:val="1A1A1A"/>
          <w:sz w:val="20"/>
          <w:szCs w:val="20"/>
        </w:rPr>
        <w:t xml:space="preserve">Reusable module deploying 35+ AWS resources (VPC, KVO, CLMS, vPB, IAM, SSM documents)</w:t>
      </w:r>
    </w:p>
    <w:p>
      <w:pPr>
        <w:pStyle w:val="ListParagraph"/>
        <w:numPr>
          <w:ilvl w:val="0"/>
          <w:numId w:val="2"/>
        </w:numPr>
        <w:spacing w:after="40" w:line="264"/>
      </w:pPr>
      <w:r>
        <w:rPr>
          <w:rFonts w:ascii="Arial" w:cs="Arial" w:eastAsia="Arial" w:hAnsi="Arial"/>
          <w:b/>
          <w:bCs/>
          <w:color w:val="1A1A1A"/>
          <w:sz w:val="20"/>
          <w:szCs w:val="20"/>
        </w:rPr>
        <w:t xml:space="preserve">CloudFormation Templates: </w:t>
      </w:r>
      <w:r>
        <w:rPr>
          <w:rFonts w:ascii="Arial" w:cs="Arial" w:eastAsia="Arial" w:hAnsi="Arial"/>
          <w:color w:val="1A1A1A"/>
          <w:sz w:val="20"/>
          <w:szCs w:val="20"/>
        </w:rPr>
        <w:t xml:space="preserve">Full-stack (new VPC) + existing-vpc (customer infra) for zero-install AWS Console deployment</w:t>
      </w:r>
    </w:p>
    <w:p>
      <w:pPr>
        <w:pStyle w:val="ListParagraph"/>
        <w:numPr>
          <w:ilvl w:val="0"/>
          <w:numId w:val="2"/>
        </w:numPr>
        <w:spacing w:after="40" w:line="264"/>
      </w:pPr>
      <w:r>
        <w:rPr>
          <w:rFonts w:ascii="Arial" w:cs="Arial" w:eastAsia="Arial" w:hAnsi="Arial"/>
          <w:b/>
          <w:bCs/>
          <w:color w:val="1A1A1A"/>
          <w:sz w:val="20"/>
          <w:szCs w:val="20"/>
        </w:rPr>
        <w:t xml:space="preserve">Kubernetes Lab: </w:t>
      </w:r>
      <w:r>
        <w:rPr>
          <w:rFonts w:ascii="Arial" w:cs="Arial" w:eastAsia="Arial" w:hAnsi="Arial"/>
          <w:color w:val="1A1A1A"/>
          <w:sz w:val="20"/>
          <w:szCs w:val="20"/>
        </w:rPr>
        <w:t xml:space="preserve">EKS cluster with DaemonSet + Sidecar sensors, vPB forwarding, CyPerf integration (github.com/Keysight-Tech/cloudlens-k8s-lab)</w:t>
      </w:r>
    </w:p>
    <w:p>
      <w:pPr>
        <w:spacing w:after="20"/>
      </w:pPr>
    </w:p>
    <w:p>
      <w:pPr>
        <w:spacing w:after="80" w:before="200"/>
      </w:pPr>
      <w:r>
        <w:rPr>
          <w:rFonts w:ascii="Arial" w:cs="Arial" w:eastAsia="Arial" w:hAnsi="Arial"/>
          <w:b/>
          <w:bCs/>
          <w:color w:val="1A1A1A"/>
          <w:sz w:val="22"/>
          <w:szCs w:val="22"/>
        </w:rPr>
        <w:t xml:space="preserve">Sensor Deployment at Scale</w:t>
      </w:r>
    </w:p>
    <w:p>
      <w:pPr>
        <w:pStyle w:val="ListParagraph"/>
        <w:numPr>
          <w:ilvl w:val="0"/>
          <w:numId w:val="2"/>
        </w:numPr>
        <w:spacing w:after="40" w:line="264"/>
      </w:pPr>
      <w:r>
        <w:rPr>
          <w:rFonts w:ascii="Arial" w:cs="Arial" w:eastAsia="Arial" w:hAnsi="Arial"/>
          <w:b/>
          <w:bCs/>
          <w:color w:val="1A1A1A"/>
          <w:sz w:val="20"/>
          <w:szCs w:val="20"/>
        </w:rPr>
        <w:t xml:space="preserve">Ansible Automation Platform: </w:t>
      </w:r>
      <w:r>
        <w:rPr>
          <w:rFonts w:ascii="Arial" w:cs="Arial" w:eastAsia="Arial" w:hAnsi="Arial"/>
          <w:color w:val="1A1A1A"/>
          <w:sz w:val="20"/>
          <w:szCs w:val="20"/>
        </w:rPr>
        <w:t xml:space="preserve">Cross-platform playbooks (ubuntu.yaml, redhat.yaml, windows.yaml) deployed via Ansible Tower for VMware, OpenStack, Nutanix, bare-metal, and cloud VMs — the primary deployment method for private cloud and hybrid environments</w:t>
      </w:r>
    </w:p>
    <w:p>
      <w:pPr>
        <w:pStyle w:val="ListParagraph"/>
        <w:numPr>
          <w:ilvl w:val="0"/>
          <w:numId w:val="2"/>
        </w:numPr>
        <w:spacing w:after="40" w:line="264"/>
      </w:pPr>
      <w:r>
        <w:rPr>
          <w:rFonts w:ascii="Arial" w:cs="Arial" w:eastAsia="Arial" w:hAnsi="Arial"/>
          <w:b/>
          <w:bCs/>
          <w:color w:val="1A1A1A"/>
          <w:sz w:val="20"/>
          <w:szCs w:val="20"/>
        </w:rPr>
        <w:t xml:space="preserve">AWS SSM Documents: </w:t>
      </w:r>
      <w:r>
        <w:rPr>
          <w:rFonts w:ascii="Arial" w:cs="Arial" w:eastAsia="Arial" w:hAnsi="Arial"/>
          <w:color w:val="1A1A1A"/>
          <w:sz w:val="20"/>
          <w:szCs w:val="20"/>
        </w:rPr>
        <w:t xml:space="preserve">Supplementary option for AWS-native environments using Systems Manager Run Command</w:t>
      </w:r>
    </w:p>
    <w:p>
      <w:pPr>
        <w:pStyle w:val="ListParagraph"/>
        <w:numPr>
          <w:ilvl w:val="0"/>
          <w:numId w:val="2"/>
        </w:numPr>
        <w:spacing w:after="40" w:line="264"/>
      </w:pPr>
      <w:r>
        <w:rPr>
          <w:rFonts w:ascii="Arial" w:cs="Arial" w:eastAsia="Arial" w:hAnsi="Arial"/>
          <w:b/>
          <w:bCs/>
          <w:color w:val="1A1A1A"/>
          <w:sz w:val="20"/>
          <w:szCs w:val="20"/>
        </w:rPr>
        <w:t xml:space="preserve">Helm Charts: </w:t>
      </w:r>
      <w:r>
        <w:rPr>
          <w:rFonts w:ascii="Arial" w:cs="Arial" w:eastAsia="Arial" w:hAnsi="Arial"/>
          <w:color w:val="1A1A1A"/>
          <w:sz w:val="20"/>
          <w:szCs w:val="20"/>
        </w:rPr>
        <w:t xml:space="preserve">Kubernetes sensor deployment as DaemonSet or Sidecar for EKS, AKS, GKE clusters</w:t>
      </w:r>
    </w:p>
    <w:p>
      <w:pPr>
        <w:spacing w:after="20"/>
      </w:pPr>
    </w:p>
    <w:p>
      <w:pPr>
        <w:spacing w:after="80" w:before="200"/>
      </w:pPr>
      <w:r>
        <w:rPr>
          <w:rFonts w:ascii="Arial" w:cs="Arial" w:eastAsia="Arial" w:hAnsi="Arial"/>
          <w:b/>
          <w:bCs/>
          <w:color w:val="1A1A1A"/>
          <w:sz w:val="22"/>
          <w:szCs w:val="22"/>
        </w:rPr>
        <w:t xml:space="preserve">Traffic Mirroring Automation</w:t>
      </w:r>
    </w:p>
    <w:p>
      <w:pPr>
        <w:pStyle w:val="ListParagraph"/>
        <w:numPr>
          <w:ilvl w:val="0"/>
          <w:numId w:val="2"/>
        </w:numPr>
        <w:spacing w:after="40" w:line="264"/>
      </w:pPr>
      <w:r>
        <w:rPr>
          <w:rFonts w:ascii="Arial" w:cs="Arial" w:eastAsia="Arial" w:hAnsi="Arial"/>
          <w:b/>
          <w:bCs/>
          <w:color w:val="1A1A1A"/>
          <w:sz w:val="20"/>
          <w:szCs w:val="20"/>
        </w:rPr>
        <w:t xml:space="preserve">Auto-Tag Lambda: </w:t>
      </w:r>
      <w:r>
        <w:rPr>
          <w:rFonts w:ascii="Arial" w:cs="Arial" w:eastAsia="Arial" w:hAnsi="Arial"/>
          <w:color w:val="1A1A1A"/>
          <w:sz w:val="20"/>
          <w:szCs w:val="20"/>
        </w:rPr>
        <w:t xml:space="preserve">EventBridge + Lambda auto-tags new EC2 instances for KVO CloudConfig discovery (sub-second vs. Gigamon’s polling-based ATS)</w:t>
      </w:r>
    </w:p>
    <w:p>
      <w:pPr>
        <w:pStyle w:val="ListParagraph"/>
        <w:numPr>
          <w:ilvl w:val="0"/>
          <w:numId w:val="2"/>
        </w:numPr>
        <w:spacing w:after="40" w:line="264"/>
      </w:pPr>
      <w:r>
        <w:rPr>
          <w:rFonts w:ascii="Arial" w:cs="Arial" w:eastAsia="Arial" w:hAnsi="Arial"/>
          <w:b/>
          <w:bCs/>
          <w:color w:val="1A1A1A"/>
          <w:sz w:val="20"/>
          <w:szCs w:val="20"/>
        </w:rPr>
        <w:t xml:space="preserve">KVO CloudConfig: </w:t>
      </w:r>
      <w:r>
        <w:rPr>
          <w:rFonts w:ascii="Arial" w:cs="Arial" w:eastAsia="Arial" w:hAnsi="Arial"/>
          <w:color w:val="1A1A1A"/>
          <w:sz w:val="20"/>
          <w:szCs w:val="20"/>
        </w:rPr>
        <w:t xml:space="preserve">Native AWS integration with IAM keys, region/VPC selection, zone tapping, and auto-deployed collector SVMs</w:t>
      </w:r>
    </w:p>
    <w:p>
      <w:pPr>
        <w:spacing w:after="20"/>
      </w:pPr>
    </w:p>
    <w:p>
      <w:pPr>
        <w:spacing w:after="80" w:before="200"/>
      </w:pPr>
      <w:r>
        <w:rPr>
          <w:rFonts w:ascii="Arial" w:cs="Arial" w:eastAsia="Arial" w:hAnsi="Arial"/>
          <w:b/>
          <w:bCs/>
          <w:color w:val="1A1A1A"/>
          <w:sz w:val="22"/>
          <w:szCs w:val="22"/>
        </w:rPr>
        <w:t xml:space="preserve">Operational Tools</w:t>
      </w:r>
    </w:p>
    <w:p>
      <w:pPr>
        <w:pStyle w:val="ListParagraph"/>
        <w:numPr>
          <w:ilvl w:val="0"/>
          <w:numId w:val="2"/>
        </w:numPr>
        <w:spacing w:after="40" w:line="264"/>
      </w:pPr>
      <w:r>
        <w:rPr>
          <w:rFonts w:ascii="Arial" w:cs="Arial" w:eastAsia="Arial" w:hAnsi="Arial"/>
          <w:b/>
          <w:bCs/>
          <w:color w:val="1A1A1A"/>
          <w:sz w:val="20"/>
          <w:szCs w:val="20"/>
        </w:rPr>
        <w:t xml:space="preserve">deploy-sensors.sh: </w:t>
      </w:r>
      <w:r>
        <w:rPr>
          <w:rFonts w:ascii="Arial" w:cs="Arial" w:eastAsia="Arial" w:hAnsi="Arial"/>
          <w:color w:val="1A1A1A"/>
          <w:sz w:val="20"/>
          <w:szCs w:val="20"/>
        </w:rPr>
        <w:t xml:space="preserve">Progress bars, dry-run mode, platform targeting, Windows S3 installer support</w:t>
      </w:r>
    </w:p>
    <w:p>
      <w:pPr>
        <w:pStyle w:val="ListParagraph"/>
        <w:numPr>
          <w:ilvl w:val="0"/>
          <w:numId w:val="2"/>
        </w:numPr>
        <w:spacing w:after="40" w:line="264"/>
      </w:pPr>
      <w:r>
        <w:rPr>
          <w:rFonts w:ascii="Arial" w:cs="Arial" w:eastAsia="Arial" w:hAnsi="Arial"/>
          <w:b/>
          <w:bCs/>
          <w:color w:val="1A1A1A"/>
          <w:sz w:val="20"/>
          <w:szCs w:val="20"/>
        </w:rPr>
        <w:t xml:space="preserve">remove-sensors.sh: </w:t>
      </w:r>
      <w:r>
        <w:rPr>
          <w:rFonts w:ascii="Arial" w:cs="Arial" w:eastAsia="Arial" w:hAnsi="Arial"/>
          <w:color w:val="1A1A1A"/>
          <w:sz w:val="20"/>
          <w:szCs w:val="20"/>
        </w:rPr>
        <w:t xml:space="preserve">Clean sensor uninstallation across all platforms</w:t>
      </w:r>
    </w:p>
    <w:p>
      <w:pPr>
        <w:pStyle w:val="ListParagraph"/>
        <w:numPr>
          <w:ilvl w:val="0"/>
          <w:numId w:val="2"/>
        </w:numPr>
        <w:spacing w:after="40" w:line="264"/>
      </w:pPr>
      <w:r>
        <w:rPr>
          <w:rFonts w:ascii="Arial" w:cs="Arial" w:eastAsia="Arial" w:hAnsi="Arial"/>
          <w:b/>
          <w:bCs/>
          <w:color w:val="1A1A1A"/>
          <w:sz w:val="20"/>
          <w:szCs w:val="20"/>
        </w:rPr>
        <w:t xml:space="preserve">prep-targets.sh: </w:t>
      </w:r>
      <w:r>
        <w:rPr>
          <w:rFonts w:ascii="Arial" w:cs="Arial" w:eastAsia="Arial" w:hAnsi="Arial"/>
          <w:color w:val="1A1A1A"/>
          <w:sz w:val="20"/>
          <w:szCs w:val="20"/>
        </w:rPr>
        <w:t xml:space="preserve">Scan existing customer VMs, auto-fix IAM roles, install SSM Agent, tag instances</w:t>
      </w:r>
    </w:p>
    <w:p>
      <w:pPr>
        <w:pStyle w:val="ListParagraph"/>
        <w:numPr>
          <w:ilvl w:val="0"/>
          <w:numId w:val="2"/>
        </w:numPr>
        <w:spacing w:after="40" w:line="264"/>
      </w:pPr>
      <w:r>
        <w:rPr>
          <w:rFonts w:ascii="Arial" w:cs="Arial" w:eastAsia="Arial" w:hAnsi="Arial"/>
          <w:b/>
          <w:bCs/>
          <w:color w:val="1A1A1A"/>
          <w:sz w:val="20"/>
          <w:szCs w:val="20"/>
        </w:rPr>
        <w:t xml:space="preserve">Web Deployment Form: </w:t>
      </w:r>
      <w:r>
        <w:rPr>
          <w:rFonts w:ascii="Arial" w:cs="Arial" w:eastAsia="Arial" w:hAnsi="Arial"/>
          <w:color w:val="1A1A1A"/>
          <w:sz w:val="20"/>
          <w:szCs w:val="20"/>
        </w:rPr>
        <w:t xml:space="preserve">Interactive HTML form hosted on S3 for customer self-service configuration</w:t>
      </w:r>
    </w:p>
    <w:p>
      <w:pPr>
        <w:pStyle w:val="ListParagraph"/>
        <w:numPr>
          <w:ilvl w:val="0"/>
          <w:numId w:val="2"/>
        </w:numPr>
        <w:spacing w:after="40" w:line="264"/>
      </w:pPr>
      <w:r>
        <w:rPr>
          <w:rFonts w:ascii="Arial" w:cs="Arial" w:eastAsia="Arial" w:hAnsi="Arial"/>
          <w:b/>
          <w:bCs/>
          <w:color w:val="1A1A1A"/>
          <w:sz w:val="20"/>
          <w:szCs w:val="20"/>
        </w:rPr>
        <w:t xml:space="preserve">Production Runbook: </w:t>
      </w:r>
      <w:r>
        <w:rPr>
          <w:rFonts w:ascii="Arial" w:cs="Arial" w:eastAsia="Arial" w:hAnsi="Arial"/>
          <w:color w:val="1A1A1A"/>
          <w:sz w:val="20"/>
          <w:szCs w:val="20"/>
        </w:rPr>
        <w:t xml:space="preserve">Professional Word document with step-by-step instructions covering all deployment paths</w:t>
      </w:r>
    </w:p>
    <w:p>
      <w:pPr>
        <w:spacing w:after="60"/>
      </w:pPr>
    </w:p>
    <w:p>
      <w:r>
        <w:br w:type="page"/>
      </w:r>
    </w:p>
    <w:p>
      <w:pPr>
        <w:spacing w:after="120" w:before="280"/>
      </w:pPr>
      <w:r>
        <w:rPr>
          <w:rFonts w:ascii="Arial" w:cs="Arial" w:eastAsia="Arial" w:hAnsi="Arial"/>
          <w:b/>
          <w:bCs/>
          <w:color w:val="E90029"/>
          <w:sz w:val="28"/>
          <w:szCs w:val="28"/>
        </w:rPr>
        <w:t xml:space="preserve">7. Strategic Roadmap: 2026–2028</w:t>
      </w:r>
    </w:p>
    <w:p>
      <w:pPr>
        <w:spacing w:after="80" w:line="276"/>
      </w:pPr>
      <w:r>
        <w:rPr>
          <w:rFonts w:ascii="Arial" w:cs="Arial" w:eastAsia="Arial" w:hAnsi="Arial"/>
          <w:color w:val="1A1A1A"/>
          <w:sz w:val="20"/>
          <w:szCs w:val="20"/>
        </w:rPr>
        <w:t xml:space="preserve">AutoPilot is the foundation for a fully self-service, multi-cloud visibility platform. Active research and development is ongoing across all phases:</w:t>
      </w:r>
    </w:p>
    <w:p>
      <w:pPr>
        <w:spacing w:after="20"/>
      </w:pPr>
    </w:p>
    <w:p>
      <w:pPr>
        <w:spacing w:after="80" w:before="200"/>
      </w:pPr>
      <w:r>
        <w:rPr>
          <w:rFonts w:ascii="Arial" w:cs="Arial" w:eastAsia="Arial" w:hAnsi="Arial"/>
          <w:b/>
          <w:bCs/>
          <w:color w:val="1A1A1A"/>
          <w:sz w:val="22"/>
          <w:szCs w:val="22"/>
        </w:rPr>
        <w:t xml:space="preserve">Phase 1: AWS Dominance (Q2 2026) — Complete</w:t>
      </w:r>
    </w:p>
    <w:p>
      <w:pPr>
        <w:pStyle w:val="ListParagraph"/>
        <w:numPr>
          <w:ilvl w:val="0"/>
          <w:numId w:val="2"/>
        </w:numPr>
        <w:spacing w:after="40" w:line="264"/>
      </w:pPr>
      <w:r>
        <w:rPr>
          <w:rFonts w:ascii="Arial" w:cs="Arial" w:eastAsia="Arial" w:hAnsi="Arial"/>
          <w:color w:val="1A1A1A"/>
          <w:sz w:val="20"/>
          <w:szCs w:val="20"/>
        </w:rPr>
        <w:t xml:space="preserve">Full Terraform + CloudFormation deployment for AWS</w:t>
      </w:r>
    </w:p>
    <w:p>
      <w:pPr>
        <w:pStyle w:val="ListParagraph"/>
        <w:numPr>
          <w:ilvl w:val="0"/>
          <w:numId w:val="2"/>
        </w:numPr>
        <w:spacing w:after="40" w:line="264"/>
      </w:pPr>
      <w:r>
        <w:rPr>
          <w:rFonts w:ascii="Arial" w:cs="Arial" w:eastAsia="Arial" w:hAnsi="Arial"/>
          <w:color w:val="1A1A1A"/>
          <w:sz w:val="20"/>
          <w:szCs w:val="20"/>
        </w:rPr>
        <w:t xml:space="preserve">SSM-based sensor deployment at scale (Docker, Podman, Windows)</w:t>
      </w:r>
    </w:p>
    <w:p>
      <w:pPr>
        <w:pStyle w:val="ListParagraph"/>
        <w:numPr>
          <w:ilvl w:val="0"/>
          <w:numId w:val="2"/>
        </w:numPr>
        <w:spacing w:after="40" w:line="264"/>
      </w:pPr>
      <w:r>
        <w:rPr>
          <w:rFonts w:ascii="Arial" w:cs="Arial" w:eastAsia="Arial" w:hAnsi="Arial"/>
          <w:color w:val="1A1A1A"/>
          <w:sz w:val="20"/>
          <w:szCs w:val="20"/>
        </w:rPr>
        <w:t xml:space="preserve">Auto-tag Lambda for VPC Traffic Mirroring</w:t>
      </w:r>
    </w:p>
    <w:p>
      <w:pPr>
        <w:pStyle w:val="ListParagraph"/>
        <w:numPr>
          <w:ilvl w:val="0"/>
          <w:numId w:val="2"/>
        </w:numPr>
        <w:spacing w:after="40" w:line="264"/>
      </w:pPr>
      <w:r>
        <w:rPr>
          <w:rFonts w:ascii="Arial" w:cs="Arial" w:eastAsia="Arial" w:hAnsi="Arial"/>
          <w:color w:val="1A1A1A"/>
          <w:sz w:val="20"/>
          <w:szCs w:val="20"/>
        </w:rPr>
        <w:t xml:space="preserve">Production runbook with Keysight branding</w:t>
      </w:r>
    </w:p>
    <w:p>
      <w:pPr>
        <w:pStyle w:val="ListParagraph"/>
        <w:numPr>
          <w:ilvl w:val="0"/>
          <w:numId w:val="2"/>
        </w:numPr>
        <w:spacing w:after="40" w:line="264"/>
      </w:pPr>
      <w:r>
        <w:rPr>
          <w:rFonts w:ascii="Arial" w:cs="Arial" w:eastAsia="Arial" w:hAnsi="Arial"/>
          <w:color w:val="1A1A1A"/>
          <w:sz w:val="20"/>
          <w:szCs w:val="20"/>
        </w:rPr>
        <w:t xml:space="preserve">Web deployment form for customer self-service</w:t>
      </w:r>
    </w:p>
    <w:p>
      <w:pPr>
        <w:spacing w:after="80" w:before="200"/>
      </w:pPr>
      <w:r>
        <w:rPr>
          <w:rFonts w:ascii="Arial" w:cs="Arial" w:eastAsia="Arial" w:hAnsi="Arial"/>
          <w:b/>
          <w:bCs/>
          <w:color w:val="1A1A1A"/>
          <w:sz w:val="22"/>
          <w:szCs w:val="22"/>
        </w:rPr>
        <w:t xml:space="preserve">Phase 2: Multi-Cloud Expansion (Q3–Q4 2026) — In Development</w:t>
      </w:r>
    </w:p>
    <w:p>
      <w:pPr>
        <w:pStyle w:val="ListParagraph"/>
        <w:numPr>
          <w:ilvl w:val="0"/>
          <w:numId w:val="2"/>
        </w:numPr>
        <w:spacing w:after="40" w:line="264"/>
      </w:pPr>
      <w:r>
        <w:rPr>
          <w:rFonts w:ascii="Arial" w:cs="Arial" w:eastAsia="Arial" w:hAnsi="Arial"/>
          <w:color w:val="1A1A1A"/>
          <w:sz w:val="20"/>
          <w:szCs w:val="20"/>
        </w:rPr>
        <w:t xml:space="preserve">Azure Terraform modules (VNet, NSGs, VMs, AKS)</w:t>
      </w:r>
    </w:p>
    <w:p>
      <w:pPr>
        <w:pStyle w:val="ListParagraph"/>
        <w:numPr>
          <w:ilvl w:val="0"/>
          <w:numId w:val="2"/>
        </w:numPr>
        <w:spacing w:after="40" w:line="264"/>
      </w:pPr>
      <w:r>
        <w:rPr>
          <w:rFonts w:ascii="Arial" w:cs="Arial" w:eastAsia="Arial" w:hAnsi="Arial"/>
          <w:color w:val="1A1A1A"/>
          <w:sz w:val="20"/>
          <w:szCs w:val="20"/>
        </w:rPr>
        <w:t xml:space="preserve">GCP Terraform modules (VPC, Firewall, GKE, Packet Mirroring)</w:t>
      </w:r>
    </w:p>
    <w:p>
      <w:pPr>
        <w:pStyle w:val="ListParagraph"/>
        <w:numPr>
          <w:ilvl w:val="0"/>
          <w:numId w:val="2"/>
        </w:numPr>
        <w:spacing w:after="40" w:line="264"/>
      </w:pPr>
      <w:r>
        <w:rPr>
          <w:rFonts w:ascii="Arial" w:cs="Arial" w:eastAsia="Arial" w:hAnsi="Arial"/>
          <w:color w:val="1A1A1A"/>
          <w:sz w:val="20"/>
          <w:szCs w:val="20"/>
        </w:rPr>
        <w:t xml:space="preserve">Unified Ansible playbooks for VMware, OpenStack, Nutanix</w:t>
      </w:r>
    </w:p>
    <w:p>
      <w:pPr>
        <w:pStyle w:val="ListParagraph"/>
        <w:numPr>
          <w:ilvl w:val="0"/>
          <w:numId w:val="2"/>
        </w:numPr>
        <w:spacing w:after="40" w:line="264"/>
      </w:pPr>
      <w:r>
        <w:rPr>
          <w:rFonts w:ascii="Arial" w:cs="Arial" w:eastAsia="Arial" w:hAnsi="Arial"/>
          <w:color w:val="1A1A1A"/>
          <w:sz w:val="20"/>
          <w:szCs w:val="20"/>
        </w:rPr>
        <w:t xml:space="preserve">AWS Service Catalog integration for true one-click deployment</w:t>
      </w:r>
    </w:p>
    <w:p>
      <w:pPr>
        <w:pStyle w:val="ListParagraph"/>
        <w:numPr>
          <w:ilvl w:val="0"/>
          <w:numId w:val="2"/>
        </w:numPr>
        <w:spacing w:after="40" w:line="264"/>
      </w:pPr>
      <w:r>
        <w:rPr>
          <w:rFonts w:ascii="Arial" w:cs="Arial" w:eastAsia="Arial" w:hAnsi="Arial"/>
          <w:color w:val="1A1A1A"/>
          <w:sz w:val="20"/>
          <w:szCs w:val="20"/>
        </w:rPr>
        <w:t xml:space="preserve">Keysight Terraform Provider (native IaC, like Palo Alto’s panos provider)</w:t>
      </w:r>
    </w:p>
    <w:p>
      <w:pPr>
        <w:spacing w:after="80" w:before="200"/>
      </w:pPr>
      <w:r>
        <w:rPr>
          <w:rFonts w:ascii="Arial" w:cs="Arial" w:eastAsia="Arial" w:hAnsi="Arial"/>
          <w:b/>
          <w:bCs/>
          <w:color w:val="1A1A1A"/>
          <w:sz w:val="22"/>
          <w:szCs w:val="22"/>
        </w:rPr>
        <w:t xml:space="preserve">Phase 3: Platform Intelligence (2027–2028) — Research Phase</w:t>
      </w:r>
    </w:p>
    <w:p>
      <w:pPr>
        <w:pStyle w:val="ListParagraph"/>
        <w:numPr>
          <w:ilvl w:val="0"/>
          <w:numId w:val="2"/>
        </w:numPr>
        <w:spacing w:after="40" w:line="264"/>
      </w:pPr>
      <w:r>
        <w:rPr>
          <w:rFonts w:ascii="Arial" w:cs="Arial" w:eastAsia="Arial" w:hAnsi="Arial"/>
          <w:color w:val="1A1A1A"/>
          <w:sz w:val="20"/>
          <w:szCs w:val="20"/>
        </w:rPr>
        <w:t xml:space="preserve">SaaS Visibility Platform: Pay-per-use cloud visibility with no infrastructure to manage</w:t>
      </w:r>
    </w:p>
    <w:p>
      <w:pPr>
        <w:pStyle w:val="ListParagraph"/>
        <w:numPr>
          <w:ilvl w:val="0"/>
          <w:numId w:val="2"/>
        </w:numPr>
        <w:spacing w:after="40" w:line="264"/>
      </w:pPr>
      <w:r>
        <w:rPr>
          <w:rFonts w:ascii="Arial" w:cs="Arial" w:eastAsia="Arial" w:hAnsi="Arial"/>
          <w:color w:val="1A1A1A"/>
          <w:sz w:val="20"/>
          <w:szCs w:val="20"/>
        </w:rPr>
        <w:t xml:space="preserve">AI-Driven Traffic Intelligence: ML-based classification and anomaly detection in the visibility pipeline</w:t>
      </w:r>
    </w:p>
    <w:p>
      <w:pPr>
        <w:pStyle w:val="ListParagraph"/>
        <w:numPr>
          <w:ilvl w:val="0"/>
          <w:numId w:val="2"/>
        </w:numPr>
        <w:spacing w:after="40" w:line="264"/>
      </w:pPr>
      <w:r>
        <w:rPr>
          <w:rFonts w:ascii="Arial" w:cs="Arial" w:eastAsia="Arial" w:hAnsi="Arial"/>
          <w:color w:val="1A1A1A"/>
          <w:sz w:val="20"/>
          <w:szCs w:val="20"/>
        </w:rPr>
        <w:t xml:space="preserve">Zero-Touch Onboarding: Customer connects cloud account, gets full visibility in 5 minutes. No SE required.</w:t>
      </w:r>
    </w:p>
    <w:p>
      <w:pPr>
        <w:pStyle w:val="ListParagraph"/>
        <w:numPr>
          <w:ilvl w:val="0"/>
          <w:numId w:val="2"/>
        </w:numPr>
        <w:spacing w:after="40" w:line="264"/>
      </w:pPr>
      <w:r>
        <w:rPr>
          <w:rFonts w:ascii="Arial" w:cs="Arial" w:eastAsia="Arial" w:hAnsi="Arial"/>
          <w:color w:val="1A1A1A"/>
          <w:sz w:val="20"/>
          <w:szCs w:val="20"/>
        </w:rPr>
        <w:t xml:space="preserve">KVO REST API Automation: Fully scriptable CloudConfig, EULA acceptance, and device adoption</w:t>
      </w:r>
    </w:p>
    <w:p>
      <w:pPr>
        <w:pStyle w:val="ListParagraph"/>
        <w:numPr>
          <w:ilvl w:val="0"/>
          <w:numId w:val="2"/>
        </w:numPr>
        <w:spacing w:after="40" w:line="264"/>
      </w:pPr>
      <w:r>
        <w:rPr>
          <w:rFonts w:ascii="Arial" w:cs="Arial" w:eastAsia="Arial" w:hAnsi="Arial"/>
          <w:color w:val="1A1A1A"/>
          <w:sz w:val="20"/>
          <w:szCs w:val="20"/>
        </w:rPr>
        <w:t xml:space="preserve">Auto-Scaling Collectors: ASG-based vPB deployment that scales dynamically with traffic volume</w:t>
      </w:r>
    </w:p>
    <w:p>
      <w:pPr>
        <w:spacing w:after="20"/>
      </w:pPr>
    </w:p>
    <w:p>
      <w:pPr>
        <w:spacing w:after="60" w:before="60"/>
      </w:pPr>
      <w:r>
        <w:rPr>
          <w:rFonts w:ascii="Arial" w:cs="Arial" w:eastAsia="Arial" w:hAnsi="Arial"/>
          <w:i/>
          <w:iCs/>
          <w:color w:val="666666"/>
          <w:sz w:val="18"/>
          <w:szCs w:val="18"/>
        </w:rPr>
        <w:t xml:space="preserve">* Phase 2 and Phase 3 items are actively being researched and developed. Timelines are targets and subject to engineering prioritization.</w:t>
      </w:r>
    </w:p>
    <w:p>
      <w:pPr>
        <w:spacing w:after="8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single" w:color="E90029" w:sz="8"/>
              <w:left w:val="single" w:color="E90029" w:sz="8"/>
              <w:bottom w:val="single" w:color="E90029" w:sz="8"/>
              <w:right w:val="single" w:color="E90029" w:sz="8"/>
            </w:tcBorders>
            <w:tcMar>
              <w:top w:type="dxa" w:w="160"/>
              <w:left w:type="dxa" w:w="240"/>
              <w:bottom w:type="dxa" w:w="160"/>
              <w:right w:type="dxa" w:w="240"/>
            </w:tcMar>
          </w:tcPr>
          <w:p>
            <w:pPr>
              <w:spacing w:after="80"/>
            </w:pPr>
            <w:r>
              <w:rPr>
                <w:rFonts w:ascii="Arial" w:cs="Arial" w:eastAsia="Arial" w:hAnsi="Arial"/>
                <w:b/>
                <w:bCs/>
                <w:color w:val="E90029"/>
                <w:sz w:val="26"/>
                <w:szCs w:val="26"/>
              </w:rPr>
              <w:t xml:space="preserve">Bottom Line</w:t>
            </w:r>
          </w:p>
          <w:p>
            <w:pPr>
              <w:spacing w:after="80"/>
            </w:pPr>
            <w:r>
              <w:rPr>
                <w:rFonts w:ascii="Arial" w:cs="Arial" w:eastAsia="Arial" w:hAnsi="Arial"/>
                <w:color w:val="1A1A1A"/>
                <w:sz w:val="21"/>
                <w:szCs w:val="21"/>
              </w:rPr>
              <w:t xml:space="preserve">CloudLens AutoPilot reduces cloud visibility deployment from weeks to minutes, eliminates manual errors across public and private cloud environments, and delivers a fundamentally superior customer experience compared to Gigamon. With Ansible Tower for VMware/private cloud and SSM for AWS at scale, Keysight now offers the most comprehensive automated visibility deployment in the industry.</w:t>
            </w:r>
          </w:p>
          <w:p>
            <w:r>
              <w:rPr>
                <w:rFonts w:ascii="Arial" w:cs="Arial" w:eastAsia="Arial" w:hAnsi="Arial"/>
                <w:b/>
                <w:bCs/>
                <w:color w:val="1A1A1A"/>
                <w:sz w:val="21"/>
                <w:szCs w:val="21"/>
              </w:rPr>
              <w:t xml:space="preserve">This is the competitive differentiator that positions Keysight CloudLens as the undisputed leader in cloud visibility automation — across AWS, Azure, GCP, VMware, OpenStack, and Kubernetes.</w:t>
            </w:r>
          </w:p>
        </w:tc>
      </w:tr>
    </w:tbl>
    <w:sectPr>
      <w:headerReference w:type="default" r:id="rId7"/>
      <w:footerReference w:type="default" r:id="rId8"/>
      <w:pgSz w:w="12240" w:h="15840" w:orient="portrait"/>
      <w:pgMar w:top="12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0029" w:sz="2" w:space="4"/>
      </w:pBdr>
      <w:tabs>
        <w:tab w:val="right" w:pos="9026"/>
      </w:tabs>
      <w:jc w:val="center"/>
    </w:pPr>
    <w:r>
      <w:rPr>
        <w:rFonts w:ascii="Arial" w:cs="Arial" w:eastAsia="Arial" w:hAnsi="Arial"/>
        <w:color w:val="666666"/>
        <w:sz w:val="14"/>
        <w:szCs w:val="14"/>
      </w:rPr>
      <w:t xml:space="preserve">Keysight Technologies  |  CloudLens Visibility Automation  |  Confidential</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0029" w:sz="4" w:space="6"/>
      </w:pBdr>
      <w:spacing w:after="60"/>
      <w:jc w:val="left"/>
    </w:pPr>
    <w:r>
      <w:drawing>
        <wp:inline distT="0" distB="0" distL="0" distR="0">
          <wp:extent cx="1143000" cy="1143000"/>
          <wp:effectExtent t="0" r="0" b="0" l="0"/>
          <wp:docPr id="1" name="logo" descr="Keysight Technologies" title="Key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11430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ff988eb689fa5209e1a6a61caef9e341d87374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2026-04-03T12:38:30.797Z</dcterms:created>
  <dcterms:modified xsi:type="dcterms:W3CDTF">2026-04-03T12:38:30.800Z</dcterms:modified>
</cp:coreProperties>
</file>

<file path=docProps/custom.xml><?xml version="1.0" encoding="utf-8"?>
<Properties xmlns="http://schemas.openxmlformats.org/officeDocument/2006/custom-properties" xmlns:vt="http://schemas.openxmlformats.org/officeDocument/2006/docPropsVTypes"/>
</file>