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Target structures and a reference complex</w:t>
      </w:r>
    </w:p>
    <w:p>
      <w:pPr/>
      <w:r>
        <w:t xml:space="preserve">Three</w:t>
      </w:r>
      <w:r>
        <w:rPr>
          <w:highlight w:val="yellow"/>
        </w:rPr>
        <w:t xml:space="preserve"> structures, two</w:t>
      </w:r>
      <w:r>
        <w:t xml:space="preserve"> experimental </w:t>
      </w:r>
      <w:r>
        <w:rPr>
          <w:highlight w:val="yellow"/>
        </w:rPr>
        <w:t xml:space="preserve">and</w:t>
      </w:r>
      <w:r>
        <w:t xml:space="preserve"> </w:t>
      </w:r>
      <w:r>
        <w:rPr>
          <w:highlight w:val="yellow"/>
        </w:rPr>
        <w:t xml:space="preserve">one predicted,</w:t>
      </w:r>
      <w:r>
        <w:t xml:space="preserve"> guided the docking process: a cereblon (CRBN) receptor, a PPIL4 receptor, and an experiment-based CRBN-ligand-PPIL4 ternary complex.</w:t>
      </w:r>
    </w:p>
    <w:p>
      <w:pPr/>
      <w:r>
        <w:t xml:space="preserve">The CRBN receptor was the thalidomide-binding </w:t>
      </w:r>
      <w:r>
        <w:rPr>
          <w:highlight w:val="yellow"/>
        </w:rPr>
        <w:t xml:space="preserve">domain (chain</w:t>
      </w:r>
      <w:r>
        <w:t xml:space="preserve"> A, residues 318-426; 109 </w:t>
      </w:r>
      <w:r>
        <w:rPr>
          <w:highlight w:val="yellow"/>
        </w:rPr>
        <w:t xml:space="preserve">residues; C366S mutation).</w:t>
      </w:r>
      <w:r>
        <w:t xml:space="preserve"> Its structural Zn²⁺ ion</w:t>
      </w:r>
      <w:r>
        <w:rPr>
          <w:highlight w:val="yellow"/>
        </w:rPr>
        <w:t xml:space="preserve"> was</w:t>
      </w:r>
      <w:r>
        <w:t xml:space="preserve"> retained while all ligand, water, and </w:t>
      </w:r>
      <w:r>
        <w:rPr>
          <w:highlight w:val="yellow"/>
        </w:rPr>
        <w:t xml:space="preserve">other </w:t>
      </w:r>
      <w:r>
        <w:t xml:space="preserve">heteroatom records were removed. This </w:t>
      </w:r>
      <w:r>
        <w:rPr>
          <w:highlight w:val="yellow"/>
        </w:rPr>
        <w:t xml:space="preserve">ligand-stripped</w:t>
      </w:r>
      <w:r>
        <w:t xml:space="preserve"> receptor was extracted from a CRBN-thalidomide-SALL4 co-crystallized </w:t>
      </w:r>
      <w:r>
        <w:rPr>
          <w:highlight w:val="yellow"/>
        </w:rPr>
        <w:t xml:space="preserve">structure (PDB 7BQU; Furihata et al., 2020).</w:t>
      </w:r>
      <w:r>
        <w:t xml:space="preserve"> It additionally contains a SALL4 C2H2 zinc-finger degron as chain B </w:t>
      </w:r>
      <w:r>
        <w:rPr>
          <w:highlight w:val="yellow"/>
        </w:rPr>
        <w:t xml:space="preserve">(observed</w:t>
      </w:r>
      <w:r>
        <w:t xml:space="preserve"> </w:t>
      </w:r>
      <w:r>
        <w:rPr>
          <w:highlight w:val="yellow"/>
        </w:rPr>
        <w:t xml:space="preserve">residues 409-432; residue 409 is from the expression tag).</w:t>
      </w:r>
      <w:r>
        <w:t xml:space="preserve"> Chain B was not carried into the docking input. This structure was used consistently for every docking process during the dry lab.</w:t>
      </w:r>
    </w:p>
    <w:p>
      <w:pPr/>
      <w:r>
        <w:t xml:space="preserve">PPIL4 was represented by an AlphaFold v2.0 prediction of the full length human protein (UniProt Q8WUA2), chain A, residues 1-492 </w:t>
      </w:r>
      <w:r>
        <w:rPr>
          <w:highlight w:val="yellow"/>
        </w:rPr>
        <w:t xml:space="preserve">(Jumper et al., 2021; Varadi et al., 2022).</w:t>
      </w:r>
    </w:p>
    <w:p>
      <w:pPr/>
      <w:r>
        <w:t xml:space="preserve">The reference complex was the </w:t>
      </w:r>
      <w:r>
        <w:rPr>
          <w:highlight w:val="yellow"/>
        </w:rPr>
        <w:t xml:space="preserve">cryo-EM</w:t>
      </w:r>
      <w:r>
        <w:t xml:space="preserve"> </w:t>
      </w:r>
      <w:r>
        <w:rPr>
          <w:highlight w:val="yellow"/>
        </w:rPr>
        <w:t xml:space="preserve">CRBN-DDB1-FPFT-2216-PPIL4</w:t>
      </w:r>
      <w:r>
        <w:t xml:space="preserve"> </w:t>
      </w:r>
      <w:r>
        <w:rPr>
          <w:highlight w:val="yellow"/>
        </w:rPr>
        <w:t xml:space="preserve">RRM-domain</w:t>
      </w:r>
      <w:r>
        <w:t xml:space="preserve"> complex structure (PDB </w:t>
      </w:r>
      <w:r>
        <w:rPr>
          <w:highlight w:val="yellow"/>
        </w:rPr>
        <w:t xml:space="preserve">9DWV; global resolution 3.50 Å; Baek et al., 2025).</w:t>
      </w:r>
      <w:r>
        <w:t xml:space="preserve"> The original structure was converted to a two chain reference. The original CRBN chain B was renamed as chain A while the PPIL4 chain C renamed as chain B. DDB1, the original ligand (FPFT-2216), and all Zn²⁺ ions were removed. The PPIL4 interface used throughout was taken directly from this </w:t>
      </w:r>
      <w:r>
        <w:rPr>
          <w:highlight w:val="yellow"/>
        </w:rPr>
        <w:t xml:space="preserve">reference (PPIL4 residues 249, 250, 273, 275, 276, 277, 278 and 279).</w:t>
      </w:r>
    </w:p>
    <w:p>
      <w:pPr>
        <w:pStyle w:val="Heading1"/>
      </w:pPr>
      <w:r>
        <w:t>Candidate library generation and ligand preparation</w:t>
      </w:r>
    </w:p>
    <w:p>
      <w:pPr/>
      <w:commentRangeStart w:id="0"/>
      <w:r>
        <w:t xml:space="preserve">The candidate library was built by functional group substitution around two parent scaffolds. Both parent scaffolds retained an intact glutarimide (piperidine-2,6-dione) ring. The parent scaffolds were thalidomide (O=C1CCC(N2C(=O)c3ccccc3C2=O)C(=O)N1) and an isoindolinone (O=C1CCC(N2Cc3ccccc3C2=O)C(=O)N1). Substitution was restricted to aromatic benzo-ring carbons still bearing hydrogen. The ring-fusion carbons </w:t>
      </w:r>
      <w:r>
        <w:rPr>
          <w:highlight w:val="yellow"/>
        </w:rPr>
        <w:t xml:space="preserve">lacking</w:t>
      </w:r>
      <w:r>
        <w:t xml:space="preserve"> </w:t>
      </w:r>
      <w:r>
        <w:rPr>
          <w:highlight w:val="yellow"/>
        </w:rPr>
        <w:t xml:space="preserve">hydrogen</w:t>
      </w:r>
      <w:r>
        <w:t xml:space="preserve"> were excluded from substitutions and thus were not modified. Eighteen substituent fragments were available. Each fragment attached to the compound through a single bond replacing a single bonded hydrogen: F, Cl, Br, I, NH₂, OH, CH₃, CH₂CH₃, OCH₃, CN, NO₂, CF₃, COOH, CONH₂, SO₂NH₂, NHCH₃, N(CH₃)₂, and a phenylpiperazine cap (c1ccc(N2CCNCC2)cc1). Enumeration proceeded by repeated random sampling with a fixed seed </w:t>
      </w:r>
      <w:r>
        <w:rPr>
          <w:highlight w:val="yellow"/>
        </w:rPr>
        <w:t xml:space="preserve">(seed=42), selecting one or two substitution sites with probabilities of two-thirds and one-third, respectively.</w:t>
      </w:r>
      <w:r>
        <w:t xml:space="preserve"> Each candidate was checked with </w:t>
      </w:r>
      <w:r>
        <w:rPr>
          <w:highlight w:val="yellow"/>
        </w:rPr>
        <w:t xml:space="preserve">RDKit (RDKit, n.d.).</w:t>
      </w:r>
      <w:r>
        <w:t xml:space="preserve"> Candidates that failed the sanitization check were discarded and didn’t enter the library. Duplicates were rejected by canonical SMILES. Sampling stopped at a size of 2500 valid, unique analogues.</w:t>
      </w:r>
      <w:r>
        <w:rPr>
          <w:highlight w:val="yellow"/>
        </w:rPr>
        <w:t xml:space="preserve"> For docking, explicit hydrogens were added, a three-dimensional conformer was generated with RDKit (embedding seed=42), and MMFF optimization was performed before ligand and receptor PDBQT preparation with Meeko (RDKit, n.d.; Meeko, n.d.).</w:t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t xml:space="preserve">Machine-learning and </w:t>
      </w:r>
      <w:r>
        <w:rPr>
          <w:highlight w:val="yellow"/>
        </w:rPr>
        <w:t xml:space="preserve">rigid-receptor</w:t>
      </w:r>
      <w:r>
        <w:t xml:space="preserve"> pre-filtering</w:t>
      </w:r>
    </w:p>
    <w:p>
      <w:pPr/>
      <w:r>
        <w:t>Ternary docking of the full candidate library was not computationally feasible with the resources available, so a series of  filters were applied to filter out candidates at an increasing computational cost, each addressing on a different property of the candidate. The initial candidate library of 2500 was reduced to 625 candidates, then 125 candidates.</w:t>
      </w:r>
    </w:p>
    <w:p>
      <w:pPr/>
      <w:commentRangeStart w:id="1"/>
      <w:commentRangeStart w:id="2"/>
      <w:commentRangeStart w:id="3"/>
      <w:r>
        <w:t xml:space="preserve">The first filter was the predicted </w:t>
      </w:r>
      <w:r>
        <w:rPr>
          <w:highlight w:val="yellow"/>
        </w:rPr>
        <w:t xml:space="preserve">CRBN-associated</w:t>
      </w:r>
      <w:r>
        <w:t xml:space="preserve"> </w:t>
      </w:r>
      <w:r>
        <w:rPr>
          <w:highlight w:val="yellow"/>
        </w:rPr>
        <w:t xml:space="preserve">activity profile.</w:t>
      </w:r>
      <w:r>
        <w:t xml:space="preserve"> Two random forest classifiers (Breiman, 2001) were trained on ChEMBL bioactivity data </w:t>
      </w:r>
      <w:r>
        <w:rPr>
          <w:highlight w:val="yellow"/>
        </w:rPr>
        <w:t xml:space="preserve">(Zdrazil</w:t>
      </w:r>
      <w:r>
        <w:t xml:space="preserve"> </w:t>
      </w:r>
      <w:r>
        <w:rPr>
          <w:highlight w:val="yellow"/>
        </w:rPr>
        <w:t xml:space="preserve">et</w:t>
      </w:r>
      <w:r>
        <w:t xml:space="preserve"> </w:t>
      </w:r>
      <w:r>
        <w:rPr>
          <w:highlight w:val="yellow"/>
        </w:rPr>
        <w:t xml:space="preserve">al.,</w:t>
      </w:r>
      <w:r>
        <w:t xml:space="preserve"> </w:t>
      </w:r>
      <w:r>
        <w:rPr>
          <w:highlight w:val="yellow"/>
        </w:rPr>
        <w:t xml:space="preserve">2024)</w:t>
      </w:r>
      <w:r>
        <w:t xml:space="preserve"> retrieved through the ChEMBL REST API. Both used 2048 bit radius-2 Morgan fingerprints (Rogers and Hahn, 2010) and consistent hyperparameters (200 trees, class_weight='balanced', random_state=42, implemented in </w:t>
      </w:r>
      <w:r>
        <w:rPr>
          <w:highlight w:val="yellow"/>
        </w:rPr>
        <w:t xml:space="preserve">scikit-learn;</w:t>
      </w:r>
      <w:r>
        <w:t xml:space="preserve"> </w:t>
      </w:r>
      <w:r>
        <w:rPr>
          <w:highlight w:val="yellow"/>
        </w:rPr>
        <w:t xml:space="preserve">Pedregosa</w:t>
      </w:r>
      <w:r>
        <w:t xml:space="preserve"> et al., 2011). The first classifier was trained based on records of human CRBN (CHEMBL3763008), labelled active where </w:t>
      </w:r>
      <w:r>
        <w:rPr>
          <w:highlight w:val="yellow"/>
        </w:rPr>
        <w:t xml:space="preserve">a</w:t>
      </w:r>
      <w:r>
        <w:t xml:space="preserve"> </w:t>
      </w:r>
      <w:r>
        <w:rPr>
          <w:highlight w:val="yellow"/>
        </w:rPr>
        <w:t xml:space="preserve">usable numerical</w:t>
      </w:r>
      <w:r>
        <w:t xml:space="preserve"> Ki, IC₅₀, EC₅₀ or Kd </w:t>
      </w:r>
      <w:r>
        <w:rPr>
          <w:highlight w:val="yellow"/>
        </w:rPr>
        <w:t xml:space="preserve">standardized in nM </w:t>
      </w:r>
      <w:r>
        <w:t xml:space="preserve">was ≤ 10 </w:t>
      </w:r>
      <w:r>
        <w:rPr>
          <w:highlight w:val="yellow"/>
        </w:rPr>
        <w:t xml:space="preserve">µM, and inactive above this threshold. Records were grouped by canonical SMILES and compound labels were assigned by majority vote, with ties labelled active.</w:t>
      </w:r>
      <w:r>
        <w:t xml:space="preserve"> The </w:t>
      </w:r>
      <w:r>
        <w:rPr>
          <w:highlight w:val="yellow"/>
        </w:rPr>
        <w:t xml:space="preserve">saved</w:t>
      </w:r>
      <w:r>
        <w:t xml:space="preserve"> </w:t>
      </w:r>
      <w:r>
        <w:rPr>
          <w:highlight w:val="yellow"/>
        </w:rPr>
        <w:t xml:space="preserve">CRBN</w:t>
      </w:r>
      <w:r>
        <w:t xml:space="preserve"> </w:t>
      </w:r>
      <w:r>
        <w:rPr>
          <w:highlight w:val="yellow"/>
        </w:rPr>
        <w:t xml:space="preserve">dataset contained</w:t>
      </w:r>
      <w:r>
        <w:t xml:space="preserve"> 800 </w:t>
      </w:r>
      <w:r>
        <w:rPr>
          <w:highlight w:val="yellow"/>
        </w:rPr>
        <w:t xml:space="preserve">labelled activity entries,</w:t>
      </w:r>
      <w:r>
        <w:t xml:space="preserve"> of which 533 are active </w:t>
      </w:r>
      <w:r>
        <w:rPr>
          <w:highlight w:val="yellow"/>
        </w:rPr>
        <w:t xml:space="preserve">(66.6%).</w:t>
      </w:r>
      <w:commentRangeEnd w:id="3"/>
      <w:r>
        <w:rPr>
          <w:rStyle w:val="CommentReference"/>
        </w:rPr>
        <w:commentReference w:id="3"/>
      </w:r>
      <w:commentRangeEnd w:id="2"/>
      <w:r>
        <w:rPr>
          <w:rStyle w:val="CommentReference"/>
        </w:rPr>
        <w:commentReference w:id="2"/>
      </w:r>
      <w:commentRangeEnd w:id="1"/>
      <w:r>
        <w:rPr>
          <w:rStyle w:val="CommentReference"/>
        </w:rPr>
        <w:commentReference w:id="1"/>
      </w:r>
    </w:p>
    <w:p>
      <w:pPr/>
      <w:commentRangeStart w:id="4"/>
      <w:r>
        <w:t xml:space="preserve">The second random forest classifier was trained on four targets: CRBN single protein (CHEMBL3763008) and three </w:t>
      </w:r>
      <w:r>
        <w:rPr>
          <w:highlight w:val="yellow"/>
        </w:rPr>
        <w:t xml:space="preserve">CRBN-associated</w:t>
      </w:r>
      <w:r>
        <w:t xml:space="preserve"> </w:t>
      </w:r>
      <w:r>
        <w:rPr>
          <w:highlight w:val="yellow"/>
        </w:rPr>
        <w:t xml:space="preserve">protein-complex</w:t>
      </w:r>
      <w:r>
        <w:t xml:space="preserve"> </w:t>
      </w:r>
      <w:r>
        <w:rPr>
          <w:highlight w:val="yellow"/>
        </w:rPr>
        <w:t xml:space="preserve">or protein–protein interaction</w:t>
      </w:r>
      <w:r>
        <w:t xml:space="preserve"> targets [CRBN/BCL2 (CHEMBL4523685), CRBN/casein kinase 1α (CHEMBL4296102) and CRBN/HDAC4 (CHEMBL4296127)]. </w:t>
      </w:r>
      <w:r>
        <w:rPr>
          <w:highlight w:val="yellow"/>
        </w:rPr>
        <w:t xml:space="preserve">Records</w:t>
      </w:r>
      <w:r>
        <w:t xml:space="preserve"> were considered active at a </w:t>
      </w:r>
      <w:r>
        <w:rPr>
          <w:highlight w:val="yellow"/>
        </w:rPr>
        <w:t xml:space="preserve">numerical DC₅₀, EC₅₀, EC₉₀, IC₅₀, Ki or Kd standardized in nM of</w:t>
      </w:r>
      <w:r>
        <w:t xml:space="preserve"> ≤ 10 µM or an effect measure (Emax, activity or inhibition) ≥ </w:t>
      </w:r>
      <w:r>
        <w:rPr>
          <w:highlight w:val="yellow"/>
        </w:rPr>
        <w:t xml:space="preserve">50%; the implementation also accepted blank units for these effect measures. Where no usable numerical value was available, activity-comment text was used to assign active or inactive labels. Records were grouped by canonical SMILES, with majority-vote labels and ties labelled active. One manually curated PPIL4-recruiting compound, Z6466608628, was added as a positive example (Baek et al., 2025).</w:t>
      </w:r>
      <w:r>
        <w:t xml:space="preserve"> The training set was 687 compounds, of which 477 are active (69.4%).</w:t>
      </w:r>
      <w:commentRangeEnd w:id="4"/>
      <w:r>
        <w:rPr>
          <w:rStyle w:val="CommentReference"/>
        </w:rPr>
        <w:commentReference w:id="4"/>
      </w:r>
    </w:p>
    <w:p>
      <w:pPr/>
      <w:r>
        <w:t xml:space="preserve">Both classifiers were applied to all 2500 analogues.</w:t>
      </w:r>
      <w:r>
        <w:rPr>
          <w:highlight w:val="yellow"/>
        </w:rPr>
        <w:t xml:space="preserve"> Their outputs were used as prioritization scores rather than validated probabilities of CRBN binding or PPIL4 molecular-glue activity.</w:t>
      </w:r>
      <w:r>
        <w:t xml:space="preserve"> Molecules were ranked separately by P(CRBN-binder) and by P(CRBN-glue). The ranking in P(CRBN-binder) and P(CRBN-glue) were both considered, and the top 25% by rank sum advanced to the next stage, giving 625 candidates.</w:t>
      </w:r>
    </w:p>
    <w:p>
      <w:pPr/>
      <w:commentRangeStart w:id="5"/>
      <w:commentRangeStart w:id="6"/>
      <w:r>
        <w:t xml:space="preserve">The second filter was </w:t>
      </w:r>
      <w:r>
        <w:rPr>
          <w:highlight w:val="yellow"/>
        </w:rPr>
        <w:t xml:space="preserve">rigid-receptor, flexible-ligand</w:t>
      </w:r>
      <w:r>
        <w:t xml:space="preserve"> docking and </w:t>
      </w:r>
      <w:r>
        <w:rPr>
          <w:highlight w:val="yellow"/>
        </w:rPr>
        <w:t xml:space="preserve">a</w:t>
      </w:r>
      <w:r>
        <w:t xml:space="preserve"> </w:t>
      </w:r>
      <w:r>
        <w:rPr>
          <w:highlight w:val="yellow"/>
        </w:rPr>
        <w:t xml:space="preserve">ligand-contact overlap</w:t>
      </w:r>
      <w:r>
        <w:t xml:space="preserve"> test. Each of the 625 candidates that advanced to the second stage was docked independently into CRBN and into PPIL4 with AutoDock Vina 1.2.7 (Trott and Olson, 2010; Eberhardt et al., 2021), scoring function vina, exhaustiveness 16, and retaining </w:t>
      </w:r>
      <w:r>
        <w:rPr>
          <w:highlight w:val="yellow"/>
        </w:rPr>
        <w:t xml:space="preserve">up to</w:t>
      </w:r>
      <w:r>
        <w:t xml:space="preserve"> 10 best-scoring modes per receptor. The CRBN docking parameter was centred on the </w:t>
      </w:r>
      <w:r>
        <w:rPr>
          <w:highlight w:val="yellow"/>
        </w:rPr>
        <w:t xml:space="preserve">mean atomic </w:t>
      </w:r>
      <w:r>
        <w:t xml:space="preserve">coordinates </w:t>
      </w:r>
      <w:r>
        <w:rPr>
          <w:highlight w:val="yellow"/>
        </w:rPr>
        <w:t xml:space="preserve">of</w:t>
      </w:r>
      <w:r>
        <w:t xml:space="preserve"> thalidomide in the co-crystallized structure, sized by the ligand extent plus 14 Å </w:t>
      </w:r>
      <w:r>
        <w:rPr>
          <w:highlight w:val="yellow"/>
        </w:rPr>
        <w:t xml:space="preserve">total </w:t>
      </w:r>
      <w:r>
        <w:t xml:space="preserve">padding</w:t>
      </w:r>
      <w:r>
        <w:rPr>
          <w:highlight w:val="yellow"/>
        </w:rPr>
        <w:t xml:space="preserve"> per dimension</w:t>
      </w:r>
      <w:r>
        <w:t xml:space="preserve"> subject to a 20 Å minimum edge. The PPIL4 docking parameter was centred on the </w:t>
      </w:r>
      <w:r>
        <w:rPr>
          <w:highlight w:val="yellow"/>
        </w:rPr>
        <w:t xml:space="preserve">mean atomic coordinates of the </w:t>
      </w:r>
      <w:r>
        <w:t xml:space="preserve">eight </w:t>
      </w:r>
      <w:r>
        <w:rPr>
          <w:highlight w:val="yellow"/>
        </w:rPr>
        <w:t xml:space="preserve">reference-derived</w:t>
      </w:r>
      <w:r>
        <w:t xml:space="preserve"> RRM interface </w:t>
      </w:r>
      <w:r>
        <w:rPr>
          <w:highlight w:val="yellow"/>
        </w:rPr>
        <w:t xml:space="preserve">residues in the AlphaFold model,</w:t>
      </w:r>
      <w:r>
        <w:t xml:space="preserve"> with 10 Å </w:t>
      </w:r>
      <w:r>
        <w:rPr>
          <w:highlight w:val="yellow"/>
        </w:rPr>
        <w:t xml:space="preserve">total </w:t>
      </w:r>
      <w:r>
        <w:t xml:space="preserve">padding</w:t>
      </w:r>
      <w:r>
        <w:rPr>
          <w:highlight w:val="yellow"/>
        </w:rPr>
        <w:t xml:space="preserve"> per dimension</w:t>
      </w:r>
      <w:r>
        <w:t xml:space="preserve"> and the same minimum edge. No consistent random seed was given for the VinaDock, therefore the search is stochastic between different runs.</w:t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</w:p>
    <w:p>
      <w:pPr/>
      <w:r>
        <w:t xml:space="preserve">Since the two docking stages were independent, the best-scoring CRBN pose and the best-scoring PPIL4 pose may </w:t>
      </w:r>
      <w:r>
        <w:rPr>
          <w:highlight w:val="yellow"/>
        </w:rPr>
        <w:t xml:space="preserve">use</w:t>
      </w:r>
      <w:r>
        <w:t xml:space="preserve"> the same </w:t>
      </w:r>
      <w:r>
        <w:rPr>
          <w:highlight w:val="yellow"/>
        </w:rPr>
        <w:t xml:space="preserve">ligand</w:t>
      </w:r>
      <w:r>
        <w:t xml:space="preserve"> </w:t>
      </w:r>
      <w:r>
        <w:rPr>
          <w:highlight w:val="yellow"/>
        </w:rPr>
        <w:t xml:space="preserve">atoms</w:t>
      </w:r>
      <w:r>
        <w:t xml:space="preserve"> </w:t>
      </w:r>
      <w:r>
        <w:rPr>
          <w:highlight w:val="yellow"/>
        </w:rPr>
        <w:t xml:space="preserve">to</w:t>
      </w:r>
      <w:r>
        <w:t xml:space="preserve"> </w:t>
      </w:r>
      <w:r>
        <w:rPr>
          <w:highlight w:val="yellow"/>
        </w:rPr>
        <w:t xml:space="preserve">contact</w:t>
      </w:r>
      <w:r>
        <w:t xml:space="preserve"> </w:t>
      </w:r>
      <w:r>
        <w:rPr>
          <w:highlight w:val="yellow"/>
        </w:rPr>
        <w:t xml:space="preserve">the</w:t>
      </w:r>
      <w:r>
        <w:t xml:space="preserve"> </w:t>
      </w:r>
      <w:r>
        <w:rPr>
          <w:highlight w:val="yellow"/>
        </w:rPr>
        <w:t xml:space="preserve">receptors.</w:t>
      </w:r>
      <w:r>
        <w:t xml:space="preserve"> </w:t>
      </w:r>
      <w:r>
        <w:rPr>
          <w:highlight w:val="yellow"/>
        </w:rPr>
        <w:t xml:space="preserve">This</w:t>
      </w:r>
      <w:r>
        <w:t xml:space="preserve"> </w:t>
      </w:r>
      <w:r>
        <w:rPr>
          <w:highlight w:val="yellow"/>
        </w:rPr>
        <w:t xml:space="preserve">overlap alone does not establish geometric incompatibility.</w:t>
      </w:r>
      <w:r>
        <w:t xml:space="preserve"> Therefore, </w:t>
      </w:r>
      <w:r>
        <w:rPr>
          <w:highlight w:val="yellow"/>
        </w:rPr>
        <w:t xml:space="preserve">up to</w:t>
      </w:r>
      <w:r>
        <w:t xml:space="preserve"> 10 × 10 (10 for CRBN, 10 for PPIL4) pose pairs were evaluated. For each pose, </w:t>
      </w:r>
      <w:r>
        <w:rPr>
          <w:highlight w:val="yellow"/>
        </w:rPr>
        <w:t xml:space="preserve">ligand-atom</w:t>
      </w:r>
      <w:r>
        <w:t xml:space="preserve"> </w:t>
      </w:r>
      <w:r>
        <w:rPr>
          <w:highlight w:val="yellow"/>
        </w:rPr>
        <w:t xml:space="preserve">identities</w:t>
      </w:r>
      <w:r>
        <w:t xml:space="preserve"> within 4.5 Å of any receptor </w:t>
      </w:r>
      <w:r>
        <w:rPr>
          <w:highlight w:val="yellow"/>
        </w:rPr>
        <w:t xml:space="preserve">atom</w:t>
      </w:r>
      <w:r>
        <w:t xml:space="preserve"> were recorded as that pose's contact </w:t>
      </w:r>
      <w:r>
        <w:rPr>
          <w:highlight w:val="yellow"/>
        </w:rPr>
        <w:t xml:space="preserve">set.</w:t>
      </w:r>
      <w:r>
        <w:t xml:space="preserve"> A pair </w:t>
      </w:r>
      <w:r>
        <w:rPr>
          <w:highlight w:val="yellow"/>
        </w:rPr>
        <w:t xml:space="preserve">passed</w:t>
      </w:r>
      <w:r>
        <w:t xml:space="preserve"> </w:t>
      </w:r>
      <w:r>
        <w:rPr>
          <w:highlight w:val="yellow"/>
        </w:rPr>
        <w:t xml:space="preserve">the</w:t>
      </w:r>
      <w:r>
        <w:t xml:space="preserve"> </w:t>
      </w:r>
      <w:r>
        <w:rPr>
          <w:highlight w:val="yellow"/>
        </w:rPr>
        <w:t xml:space="preserve">overlap</w:t>
      </w:r>
      <w:r>
        <w:t xml:space="preserve"> </w:t>
      </w:r>
      <w:r>
        <w:rPr>
          <w:highlight w:val="yellow"/>
        </w:rPr>
        <w:t xml:space="preserve">criterion</w:t>
      </w:r>
      <w:r>
        <w:t xml:space="preserve"> where the Jaccard overlap of its two </w:t>
      </w:r>
      <w:r>
        <w:rPr>
          <w:highlight w:val="yellow"/>
        </w:rPr>
        <w:t xml:space="preserve">ligand-contact atom</w:t>
      </w:r>
      <w:r>
        <w:t xml:space="preserve"> sets was ≤ 0.30 </w:t>
      </w:r>
      <w:r>
        <w:rPr>
          <w:highlight w:val="yellow"/>
        </w:rPr>
        <w:t xml:space="preserve">(intersection</w:t>
      </w:r>
      <w:r>
        <w:t xml:space="preserve"> </w:t>
      </w:r>
      <w:r>
        <w:rPr>
          <w:highlight w:val="yellow"/>
        </w:rPr>
        <w:t xml:space="preserve">size divided by union size; an empty union was assigned zero).</w:t>
      </w:r>
    </w:p>
    <w:p>
      <w:pPr/>
      <w:commentRangeStart w:id="7"/>
      <w:r>
        <w:t xml:space="preserve">Among the </w:t>
      </w:r>
      <w:r>
        <w:rPr>
          <w:highlight w:val="yellow"/>
        </w:rPr>
        <w:t xml:space="preserve">pairs</w:t>
      </w:r>
      <w:r>
        <w:t xml:space="preserve"> </w:t>
      </w:r>
      <w:r>
        <w:rPr>
          <w:highlight w:val="yellow"/>
        </w:rPr>
        <w:t xml:space="preserve">passing this criterion,</w:t>
      </w:r>
      <w:r>
        <w:t xml:space="preserve"> the pair with the minimum </w:t>
      </w:r>
      <w:r>
        <w:rPr>
          <w:highlight w:val="yellow"/>
        </w:rPr>
        <w:t xml:space="preserve">sum of </w:t>
      </w:r>
      <w:r>
        <w:t xml:space="preserve">CRBN and PPIL4 </w:t>
      </w:r>
      <w:r>
        <w:rPr>
          <w:highlight w:val="yellow"/>
        </w:rPr>
        <w:t xml:space="preserve">Vina scores</w:t>
      </w:r>
      <w:r>
        <w:t xml:space="preserve"> was selected.</w:t>
      </w:r>
      <w:r>
        <w:rPr>
          <w:highlight w:val="yellow"/>
        </w:rPr>
        <w:t xml:space="preserve"> If no pair passed, the minimum-score pair overall was retained and flagged as failing the overlap criterion.</w:t>
      </w:r>
      <w:r>
        <w:t xml:space="preserve"> Based on the </w:t>
      </w:r>
      <w:r>
        <w:rPr>
          <w:highlight w:val="yellow"/>
        </w:rPr>
        <w:t xml:space="preserve">summed</w:t>
      </w:r>
      <w:r>
        <w:t xml:space="preserve"> </w:t>
      </w:r>
      <w:r>
        <w:rPr>
          <w:highlight w:val="yellow"/>
        </w:rPr>
        <w:t xml:space="preserve">Vina-score</w:t>
      </w:r>
      <w:r>
        <w:t xml:space="preserve"> </w:t>
      </w:r>
      <w:r>
        <w:rPr>
          <w:highlight w:val="yellow"/>
        </w:rPr>
        <w:t xml:space="preserve">ranking,</w:t>
      </w:r>
      <w:r>
        <w:t xml:space="preserve"> the top 125 candidates proceed to the next stage.</w:t>
      </w:r>
      <w:commentRangeEnd w:id="7"/>
      <w:r>
        <w:rPr>
          <w:rStyle w:val="CommentReference"/>
        </w:rPr>
        <w:commentReference w:id="7"/>
      </w:r>
    </w:p>
    <w:p>
      <w:r>
        <w:br w:type="page"/>
      </w:r>
    </w:p>
    <w:p>
      <w:pPr>
        <w:pStyle w:val="Heading1"/>
      </w:pPr>
      <w:r>
        <w:rPr>
          <w:highlight w:val="yellow"/>
        </w:rPr>
        <w:t>References</w:t>
      </w:r>
    </w:p>
    <w:p>
      <w:pPr>
        <w:spacing w:after="160"/>
      </w:pPr>
      <w:r>
        <w:rPr>
          <w:highlight w:val="yellow"/>
        </w:rPr>
        <w:t>Baek, K., et al. (2025). Unveiling the hidden interactome of CRBN molecular glues. Nature Communications, 16, 6831.</w:t>
      </w:r>
      <w:hyperlink r:id="rId10">
        <w:r>
          <w:rPr>
            <w:sz w:val="20"/>
            <w:highlight w:val="yellow"/>
          </w:rPr>
          <w:br/>
          <w:t>https://doi.org/10.1038/s41467-025-62099-w</w:t>
        </w:r>
      </w:hyperlink>
    </w:p>
    <w:p>
      <w:pPr>
        <w:spacing w:after="160"/>
      </w:pPr>
      <w:r>
        <w:rPr>
          <w:highlight w:val="yellow"/>
        </w:rPr>
        <w:t>Breiman, L. (2001). Random forests. Machine Learning, 45, 5–32.</w:t>
      </w:r>
      <w:hyperlink r:id="rId11">
        <w:r>
          <w:rPr>
            <w:sz w:val="20"/>
            <w:highlight w:val="yellow"/>
          </w:rPr>
          <w:br/>
          <w:t>https://doi.org/10.1023/A:1010933404324</w:t>
        </w:r>
      </w:hyperlink>
    </w:p>
    <w:p>
      <w:pPr>
        <w:spacing w:after="160"/>
      </w:pPr>
      <w:r>
        <w:rPr>
          <w:highlight w:val="yellow"/>
        </w:rPr>
        <w:t>Eberhardt, J., Santos-Martins, D., Tillack, A. F., &amp; Forli, S. (2021). AutoDock Vina 1.2.0: New docking methods, expanded force field, and Python bindings. Journal of Chemical Information and Modeling, 61, 3891–3898.</w:t>
      </w:r>
      <w:hyperlink r:id="rId12">
        <w:r>
          <w:rPr>
            <w:sz w:val="20"/>
            <w:highlight w:val="yellow"/>
          </w:rPr>
          <w:br/>
          <w:t>https://doi.org/10.1021/acs.jcim.1c00203</w:t>
        </w:r>
      </w:hyperlink>
    </w:p>
    <w:p>
      <w:pPr>
        <w:spacing w:after="160"/>
      </w:pPr>
      <w:r>
        <w:rPr>
          <w:highlight w:val="yellow"/>
        </w:rPr>
        <w:t>Furihata, H., et al. (2020). Structural bases of IMiD selectivity that emerges by 5-hydroxythalidomide. Nature Communications, 11, 4578.</w:t>
      </w:r>
      <w:hyperlink r:id="rId13">
        <w:r>
          <w:rPr>
            <w:sz w:val="20"/>
            <w:highlight w:val="yellow"/>
          </w:rPr>
          <w:br/>
          <w:t>https://doi.org/10.1038/s41467-020-18488-4</w:t>
        </w:r>
      </w:hyperlink>
    </w:p>
    <w:p>
      <w:pPr>
        <w:spacing w:after="160"/>
      </w:pPr>
      <w:r>
        <w:rPr>
          <w:highlight w:val="yellow"/>
        </w:rPr>
        <w:t>Jumper, J., et al. (2021). Highly accurate protein structure prediction with AlphaFold. Nature, 596, 583–589.</w:t>
      </w:r>
      <w:hyperlink r:id="rId14">
        <w:r>
          <w:rPr>
            <w:sz w:val="20"/>
            <w:highlight w:val="yellow"/>
          </w:rPr>
          <w:br/>
          <w:t>https://doi.org/10.1038/s41586-021-03819-2</w:t>
        </w:r>
      </w:hyperlink>
    </w:p>
    <w:p>
      <w:pPr>
        <w:spacing w:after="160"/>
      </w:pPr>
      <w:r>
        <w:rPr>
          <w:highlight w:val="yellow"/>
        </w:rPr>
        <w:t>Meeko. (n.d.). Meeko documentation.</w:t>
      </w:r>
      <w:hyperlink r:id="rId15">
        <w:r>
          <w:rPr>
            <w:sz w:val="20"/>
            <w:highlight w:val="yellow"/>
          </w:rPr>
          <w:br/>
          <w:t>https://meeko.readthedocs.io/</w:t>
        </w:r>
      </w:hyperlink>
    </w:p>
    <w:p>
      <w:pPr>
        <w:spacing w:after="160"/>
      </w:pPr>
      <w:r>
        <w:rPr>
          <w:highlight w:val="yellow"/>
        </w:rPr>
        <w:t>Pedregosa, F., et al. (2011). Scikit-learn: Machine learning in Python. Journal of Machine Learning Research, 12, 2825–2830.</w:t>
      </w:r>
      <w:hyperlink r:id="rId16">
        <w:r>
          <w:rPr>
            <w:sz w:val="20"/>
            <w:highlight w:val="yellow"/>
          </w:rPr>
          <w:br/>
          <w:t>https://www.jmlr.org/papers/v12/pedregosa11a.html</w:t>
        </w:r>
      </w:hyperlink>
    </w:p>
    <w:p>
      <w:pPr>
        <w:spacing w:after="160"/>
      </w:pPr>
      <w:r>
        <w:rPr>
          <w:highlight w:val="yellow"/>
        </w:rPr>
        <w:t>RDKit. (n.d.). RDKit: Open-source cheminformatics software.</w:t>
      </w:r>
      <w:hyperlink r:id="rId17">
        <w:r>
          <w:rPr>
            <w:sz w:val="20"/>
            <w:highlight w:val="yellow"/>
          </w:rPr>
          <w:br/>
          <w:t>https://www.rdkit.org/</w:t>
        </w:r>
      </w:hyperlink>
    </w:p>
    <w:p>
      <w:pPr>
        <w:spacing w:after="160"/>
      </w:pPr>
      <w:r>
        <w:rPr>
          <w:highlight w:val="yellow"/>
        </w:rPr>
        <w:t>Rogers, D., &amp; Hahn, M. (2010). Extended-connectivity fingerprints. Journal of Chemical Information and Modeling, 50, 742–754.</w:t>
      </w:r>
      <w:hyperlink r:id="rId18">
        <w:r>
          <w:rPr>
            <w:sz w:val="20"/>
            <w:highlight w:val="yellow"/>
          </w:rPr>
          <w:br/>
          <w:t>https://doi.org/10.1021/ci100050t</w:t>
        </w:r>
      </w:hyperlink>
    </w:p>
    <w:p>
      <w:pPr>
        <w:spacing w:after="160"/>
      </w:pPr>
      <w:r>
        <w:rPr>
          <w:highlight w:val="yellow"/>
        </w:rPr>
        <w:t>Trott, O., &amp; Olson, A. J. (2010). AutoDock Vina: Improving the speed and accuracy of docking with a new scoring function, efficient optimization, and multithreading. Journal of Computational Chemistry, 31, 455–461.</w:t>
      </w:r>
      <w:hyperlink r:id="rId19">
        <w:r>
          <w:rPr>
            <w:sz w:val="20"/>
            <w:highlight w:val="yellow"/>
          </w:rPr>
          <w:br/>
          <w:t>https://doi.org/10.1002/jcc.21334</w:t>
        </w:r>
      </w:hyperlink>
    </w:p>
    <w:p>
      <w:pPr>
        <w:spacing w:after="160"/>
      </w:pPr>
      <w:r>
        <w:rPr>
          <w:highlight w:val="yellow"/>
        </w:rPr>
        <w:t>Varadi, M., et al. (2022). AlphaFold Protein Structure Database: Massively expanding the structural coverage of protein-sequence space with high-accuracy models. Nucleic Acids Research, 50, D439–D444.</w:t>
      </w:r>
      <w:hyperlink r:id="rId20">
        <w:r>
          <w:rPr>
            <w:sz w:val="20"/>
            <w:highlight w:val="yellow"/>
          </w:rPr>
          <w:br/>
          <w:t>https://doi.org/10.1093/nar/gkab1061</w:t>
        </w:r>
      </w:hyperlink>
    </w:p>
    <w:p>
      <w:pPr>
        <w:spacing w:after="160"/>
      </w:pPr>
      <w:r>
        <w:rPr>
          <w:highlight w:val="yellow"/>
        </w:rPr>
        <w:t>Zdrazil, B., et al. (2024). The ChEMBL Database in 2023: A drug discovery platform spanning multiple bioactivity data types and time periods. Nucleic Acids Research, 52, D1180–D1192.</w:t>
      </w:r>
      <w:hyperlink r:id="rId21">
        <w:r>
          <w:rPr>
            <w:sz w:val="20"/>
            <w:highlight w:val="yellow"/>
          </w:rPr>
          <w:br/>
          <w:t>https://doi.org/10.1093/nar/gkad1004</w:t>
        </w:r>
      </w:hyperlink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ethods specification check" w:initials="SC" w:date="2026-10-11T03:27:04Z">
    <w:p>
      <w:pPr>
        <w:pStyle w:val="CommentText"/>
      </w:pPr>
      <w:r>
        <w:rPr>
          <w:rStyle w:val="CommentReference"/>
        </w:rPr>
        <w:annotationRef/>
      </w:r>
      <w:r>
        <w:t>The saved headerless library contains 2,500 SMILES rows. The supplied parent SMILES do not specify glutarimide stereochemistry; add a stereochemistry or protonation protocol only if one was actually applied.</w:t>
      </w:r>
    </w:p>
  </w:comment>
  <w:comment w:id="1" w:author="Methods specification check" w:initials="SC" w:date="2026-10-11T03:27:04Z">
    <w:p>
      <w:pPr>
        <w:pStyle w:val="CommentText"/>
      </w:pPr>
      <w:r>
        <w:rPr>
          <w:rStyle w:val="CommentReference"/>
        </w:rPr>
        <w:annotationRef/>
      </w:r>
      <w:r>
        <w:t>The saved Y_crbn_binders.npy has 800 entries and 533 positive labels. Its original preparation used individual activity records. The later 03 scoring script deduplicates by canonical SMILES; confirm that classifier’s actual deduplicated training count from the original run before replacing this dataset description with a training-set count.</w:t>
      </w:r>
    </w:p>
  </w:comment>
  <w:comment w:id="2" w:author="Methods specification check" w:initials="SC" w:date="2026-10-11T03:27:04Z">
    <w:p>
      <w:pPr>
        <w:pStyle w:val="CommentText"/>
      </w:pPr>
      <w:r>
        <w:rPr>
          <w:rStyle w:val="CommentReference"/>
        </w:rPr>
        <w:annotationRef/>
      </w:r>
      <w:r>
        <w:t>Missing reproducibility specifications: add the ChEMBL release and actual retrieval date from the original run. These cannot be recovered reliably from current API contents.</w:t>
      </w:r>
    </w:p>
  </w:comment>
  <w:comment w:id="3" w:author="Methods specification check" w:initials="SC" w:date="2026-10-11T03:27:04Z">
    <w:p>
      <w:pPr>
        <w:pStyle w:val="CommentText"/>
      </w:pPr>
      <w:r>
        <w:rPr>
          <w:rStyle w:val="CommentReference"/>
        </w:rPr>
        <w:annotationRef/>
      </w:r>
      <w:r>
        <w:t>The implementation pools affinity and assay-dependent potency endpoints and does not explicitly handle censored standard_relation values such as &lt; or &gt;. This is a limitation of the labels, not a specification to silently change in the written method.</w:t>
      </w:r>
    </w:p>
  </w:comment>
  <w:comment w:id="4" w:author="Methods specification check" w:initials="SC" w:date="2026-10-11T03:27:04Z">
    <w:p>
      <w:pPr>
        <w:pStyle w:val="CommentText"/>
      </w:pPr>
      <w:r>
        <w:rPr>
          <w:rStyle w:val="CommentReference"/>
        </w:rPr>
        <w:annotationRef/>
      </w:r>
      <w:r>
        <w:t>The pooled training data include a known PPIL4-positive compound, so the second classifier is not trained exclusively on ChEMBL records. A known positive appearing among generated candidates must not be treated as an independent novel prediction.</w:t>
      </w:r>
    </w:p>
  </w:comment>
  <w:comment w:id="5" w:author="Methods specification check" w:initials="SC" w:date="2026-10-11T03:27:04Z">
    <w:p>
      <w:pPr>
        <w:pStyle w:val="CommentText"/>
      </w:pPr>
      <w:r>
        <w:rPr>
          <w:rStyle w:val="CommentReference"/>
        </w:rPr>
        <w:annotationRef/>
      </w:r>
      <w:r>
        <w:t>Version 1.2.7 is retained from your original text. The docking script does not record the historical runtime version; verify this against the original environment or run log. Also add the RDKit, Meeko and scikit-learn versions used for that run.</w:t>
      </w:r>
    </w:p>
  </w:comment>
  <w:comment w:id="6" w:author="Methods specification check" w:initials="SC" w:date="2026-10-11T03:27:04Z">
    <w:p>
      <w:pPr>
        <w:pStyle w:val="CommentText"/>
      </w:pPr>
      <w:r>
        <w:rPr>
          <w:rStyle w:val="CommentReference"/>
        </w:rPr>
        <w:annotationRef/>
      </w:r>
      <w:r>
        <w:t>The script requests n_poses=10, but Vina may write fewer poses because of its default energy range. This is why “up to” was added.</w:t>
      </w:r>
    </w:p>
  </w:comment>
  <w:comment w:id="7" w:author="Methods specification check" w:initials="SC" w:date="2026-10-11T03:27:04Z">
    <w:p>
      <w:pPr>
        <w:pStyle w:val="CommentText"/>
      </w:pPr>
      <w:r>
        <w:rPr>
          <w:rStyle w:val="CommentReference"/>
        </w:rPr>
        <w:annotationRef/>
      </w:r>
      <w:r>
        <w:t>The saved 04 screening summary contains 625 candidates: 49 pass the overlap criterion and 576 fail. All of the top 125 by summed score fail and are retained under the implemented fallback rule. Do not describe this as a strict compatibility exclusion filter.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hyperlink" Target="https://doi.org/10.1038/s41467-025-62099-w" TargetMode="External"/><Relationship Id="rId11" Type="http://schemas.openxmlformats.org/officeDocument/2006/relationships/hyperlink" Target="https://doi.org/10.1023/A:1010933404324" TargetMode="External"/><Relationship Id="rId12" Type="http://schemas.openxmlformats.org/officeDocument/2006/relationships/hyperlink" Target="https://doi.org/10.1021/acs.jcim.1c00203" TargetMode="External"/><Relationship Id="rId13" Type="http://schemas.openxmlformats.org/officeDocument/2006/relationships/hyperlink" Target="https://doi.org/10.1038/s41467-020-18488-4" TargetMode="External"/><Relationship Id="rId14" Type="http://schemas.openxmlformats.org/officeDocument/2006/relationships/hyperlink" Target="https://doi.org/10.1038/s41586-021-03819-2" TargetMode="External"/><Relationship Id="rId15" Type="http://schemas.openxmlformats.org/officeDocument/2006/relationships/hyperlink" Target="https://meeko.readthedocs.io/" TargetMode="External"/><Relationship Id="rId16" Type="http://schemas.openxmlformats.org/officeDocument/2006/relationships/hyperlink" Target="https://www.jmlr.org/papers/v12/pedregosa11a.html" TargetMode="External"/><Relationship Id="rId17" Type="http://schemas.openxmlformats.org/officeDocument/2006/relationships/hyperlink" Target="https://www.rdkit.org/" TargetMode="External"/><Relationship Id="rId18" Type="http://schemas.openxmlformats.org/officeDocument/2006/relationships/hyperlink" Target="https://doi.org/10.1021/ci100050t" TargetMode="External"/><Relationship Id="rId19" Type="http://schemas.openxmlformats.org/officeDocument/2006/relationships/hyperlink" Target="https://doi.org/10.1002/jcc.21334" TargetMode="External"/><Relationship Id="rId20" Type="http://schemas.openxmlformats.org/officeDocument/2006/relationships/hyperlink" Target="https://doi.org/10.1093/nar/gkab1061" TargetMode="External"/><Relationship Id="rId21" Type="http://schemas.openxmlformats.org/officeDocument/2006/relationships/hyperlink" Target="https://doi.org/10.1093/nar/gkad1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