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A83.</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21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06"/>
        <w:gridCol w:w="4606"/>
        <w:tblGridChange w:id="0">
          <w:tblGrid>
            <w:gridCol w:w="4606"/>
            <w:gridCol w:w="4606"/>
          </w:tblGrid>
        </w:tblGridChange>
      </w:tblGrid>
      <w:tr>
        <w:trPr>
          <w:cantSplit w:val="0"/>
          <w:tblHeader w:val="0"/>
        </w:trPr>
        <w:tc>
          <w:tcPr/>
          <w:p w:rsidR="00000000" w:rsidDel="00000000" w:rsidP="00000000" w:rsidRDefault="00000000" w:rsidRPr="00000000" w14:paraId="00000003">
            <w:pPr>
              <w:jc w:val="both"/>
              <w:rPr>
                <w:rFonts w:ascii="Times New Roman" w:cs="Times New Roman" w:eastAsia="Times New Roman" w:hAnsi="Times New Roman"/>
                <w:i w:val="1"/>
                <w:sz w:val="24"/>
                <w:szCs w:val="24"/>
              </w:rPr>
            </w:pPr>
            <w:bookmarkStart w:colFirst="0" w:colLast="0" w:name="_gjdgxs" w:id="0"/>
            <w:bookmarkEnd w:id="0"/>
            <w:r w:rsidDel="00000000" w:rsidR="00000000" w:rsidRPr="00000000">
              <w:rPr>
                <w:rFonts w:ascii="Times New Roman" w:cs="Times New Roman" w:eastAsia="Times New Roman" w:hAnsi="Times New Roman"/>
                <w:i w:val="1"/>
                <w:sz w:val="24"/>
                <w:szCs w:val="24"/>
                <w:rtl w:val="0"/>
              </w:rPr>
              <w:t xml:space="preserve">Karl an Ferdinand.</w:t>
            </w:r>
          </w:p>
        </w:tc>
        <w:tc>
          <w:tcPr/>
          <w:p w:rsidR="00000000" w:rsidDel="00000000" w:rsidP="00000000" w:rsidRDefault="00000000" w:rsidRPr="00000000" w14:paraId="00000004">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(1524 Juli 12. Burgos).</w:t>
            </w:r>
          </w:p>
        </w:tc>
      </w:tr>
    </w:tbl>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f0"/>
          <w:sz w:val="24"/>
          <w:szCs w:val="24"/>
          <w:u w:val="none"/>
          <w:shd w:fill="auto" w:val="clear"/>
          <w:vertAlign w:val="baseline"/>
          <w:rtl w:val="0"/>
        </w:rPr>
        <w:t xml:space="preserve">Neugierig betreffs Hannarts Tätigkeit in Sachen Dänemarks und Sachsens. Heirat der Infantin Katharina. Notwendig, daß Hannart nach Polen geht infolge von Umtrieben Frankreichs.</w:t>
      </w:r>
    </w:p>
    <w:p w:rsidR="00000000" w:rsidDel="00000000" w:rsidP="00000000" w:rsidRDefault="00000000" w:rsidRPr="00000000" w14:paraId="00000007">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4"/>
          <w:szCs w:val="24"/>
          <w:u w:val="none"/>
          <w:shd w:fill="auto" w:val="clear"/>
          <w:vertAlign w:val="baseline"/>
          <w:rtl w:val="0"/>
        </w:rPr>
        <w:t xml:space="preserve">Is curious about Hannart's activities in the matter of Denmark and Saxony. Infanta Catherine's marriage. As a result of French intrigue and scheming, Hannart must go to Poland.</w:t>
      </w:r>
    </w:p>
    <w:p w:rsidR="00000000" w:rsidDel="00000000" w:rsidP="00000000" w:rsidRDefault="00000000" w:rsidRPr="00000000" w14:paraId="00000009">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030a0"/>
          <w:sz w:val="22"/>
          <w:szCs w:val="22"/>
          <w:u w:val="none"/>
          <w:shd w:fill="auto" w:val="clear"/>
          <w:vertAlign w:val="baseline"/>
          <w:rtl w:val="0"/>
        </w:rPr>
        <w:t xml:space="preserve">(W.) Wien. St.-A. Belgica PA. 5. Konzept mit verschiedenen Verbesserungen. Die ursprüngliche Gestalt zeigt, daß der Brief eigentlich an Hannart gerichtet war. Hiezu gehört offenbar auch der Schluß. — Grundlage für den folgenden Abdruck.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030a0"/>
          <w:sz w:val="22"/>
          <w:szCs w:val="22"/>
          <w:u w:val="none"/>
          <w:shd w:fill="auto" w:val="clear"/>
          <w:vertAlign w:val="baseline"/>
          <w:rtl w:val="0"/>
        </w:rPr>
        <w:t xml:space="preserve">(B.) Brüssel. Arch. gén. Pap. de lʼÉtat et de lʼAud. Vol. 42, Bl. 23ff. Kopie s. XVIII.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030a0"/>
          <w:sz w:val="22"/>
          <w:szCs w:val="22"/>
          <w:u w:val="none"/>
          <w:shd w:fill="auto" w:val="clear"/>
          <w:vertAlign w:val="baseline"/>
          <w:rtl w:val="0"/>
        </w:rPr>
        <w:t xml:space="preserve">Druck: Familienkorrespondenz Bd. 1, Nr. 83, S. 208-209.</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bon frere,</w:t>
      </w:r>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 je vous ai fait responce par la voie d’</w:t>
      </w:r>
      <w:commentRangeStart w:id="0"/>
      <w:r w:rsidDel="00000000" w:rsidR="00000000" w:rsidRPr="00000000">
        <w:rPr>
          <w:rFonts w:ascii="Times New Roman" w:cs="Times New Roman" w:eastAsia="Times New Roman" w:hAnsi="Times New Roman"/>
          <w:sz w:val="24"/>
          <w:szCs w:val="24"/>
          <w:rtl w:val="0"/>
        </w:rPr>
        <w:t xml:space="preserve">Ytale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et de </w:t>
      </w:r>
      <w:commentRangeStart w:id="1"/>
      <w:r w:rsidDel="00000000" w:rsidR="00000000" w:rsidRPr="00000000">
        <w:rPr>
          <w:rFonts w:ascii="Times New Roman" w:cs="Times New Roman" w:eastAsia="Times New Roman" w:hAnsi="Times New Roman"/>
          <w:sz w:val="24"/>
          <w:szCs w:val="24"/>
          <w:rtl w:val="0"/>
        </w:rPr>
        <w:t xml:space="preserve">Flandres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à tout ce que vous m’avez escript</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par les postes et actendz</w:t>
      </w: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 avec grand desir sçavoir de voz nouvelles et aussi de ce que le </w:t>
      </w:r>
      <w:commentRangeStart w:id="2"/>
      <w:r w:rsidDel="00000000" w:rsidR="00000000" w:rsidRPr="00000000">
        <w:rPr>
          <w:rFonts w:ascii="Times New Roman" w:cs="Times New Roman" w:eastAsia="Times New Roman" w:hAnsi="Times New Roman"/>
          <w:sz w:val="24"/>
          <w:szCs w:val="24"/>
          <w:rtl w:val="0"/>
        </w:rPr>
        <w:t xml:space="preserve">visconte de Lombeke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aura besoingné au fait de </w:t>
      </w:r>
      <w:commentRangeStart w:id="3"/>
      <w:r w:rsidDel="00000000" w:rsidR="00000000" w:rsidRPr="00000000">
        <w:rPr>
          <w:rFonts w:ascii="Times New Roman" w:cs="Times New Roman" w:eastAsia="Times New Roman" w:hAnsi="Times New Roman"/>
          <w:sz w:val="24"/>
          <w:szCs w:val="24"/>
          <w:rtl w:val="0"/>
        </w:rPr>
        <w:t xml:space="preserve">Dannemark</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et aussi de </w:t>
      </w:r>
      <w:commentRangeStart w:id="4"/>
      <w:r w:rsidDel="00000000" w:rsidR="00000000" w:rsidRPr="00000000">
        <w:rPr>
          <w:rFonts w:ascii="Times New Roman" w:cs="Times New Roman" w:eastAsia="Times New Roman" w:hAnsi="Times New Roman"/>
          <w:sz w:val="24"/>
          <w:szCs w:val="24"/>
          <w:rtl w:val="0"/>
        </w:rPr>
        <w:t xml:space="preserve">Saxen</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car le </w:t>
      </w:r>
      <w:commentRangeStart w:id="5"/>
      <w:r w:rsidDel="00000000" w:rsidR="00000000" w:rsidRPr="00000000">
        <w:rPr>
          <w:rFonts w:ascii="Times New Roman" w:cs="Times New Roman" w:eastAsia="Times New Roman" w:hAnsi="Times New Roman"/>
          <w:sz w:val="24"/>
          <w:szCs w:val="24"/>
          <w:rtl w:val="0"/>
        </w:rPr>
        <w:t xml:space="preserve">mariage</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de nostred. seur, donne </w:t>
      </w:r>
      <w:commentRangeStart w:id="6"/>
      <w:r w:rsidDel="00000000" w:rsidR="00000000" w:rsidRPr="00000000">
        <w:rPr>
          <w:rFonts w:ascii="Times New Roman" w:cs="Times New Roman" w:eastAsia="Times New Roman" w:hAnsi="Times New Roman"/>
          <w:sz w:val="24"/>
          <w:szCs w:val="24"/>
          <w:rtl w:val="0"/>
        </w:rPr>
        <w:t xml:space="preserve">Katherine</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avec le </w:t>
      </w:r>
      <w:commentRangeStart w:id="7"/>
      <w:r w:rsidDel="00000000" w:rsidR="00000000" w:rsidRPr="00000000">
        <w:rPr>
          <w:rFonts w:ascii="Times New Roman" w:cs="Times New Roman" w:eastAsia="Times New Roman" w:hAnsi="Times New Roman"/>
          <w:sz w:val="24"/>
          <w:szCs w:val="24"/>
          <w:rtl w:val="0"/>
        </w:rPr>
        <w:t xml:space="preserve">roi de Portugal</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est conclud et juré par parolle de futur et, venue la dispensation, laquelle s’attend de jour à aultre, led. mariage se consommera. J’escriptz</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maintenant aud. </w:t>
      </w:r>
      <w:commentRangeStart w:id="8"/>
      <w:r w:rsidDel="00000000" w:rsidR="00000000" w:rsidRPr="00000000">
        <w:rPr>
          <w:rFonts w:ascii="Times New Roman" w:cs="Times New Roman" w:eastAsia="Times New Roman" w:hAnsi="Times New Roman"/>
          <w:sz w:val="24"/>
          <w:szCs w:val="24"/>
          <w:rtl w:val="0"/>
        </w:rPr>
        <w:t xml:space="preserve">visconte</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comme il est de besoingne pour les causes contenuées en ses</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instructions qu’il se trouve devers </w:t>
      </w:r>
      <w:commentRangeStart w:id="9"/>
      <w:r w:rsidDel="00000000" w:rsidR="00000000" w:rsidRPr="00000000">
        <w:rPr>
          <w:rFonts w:ascii="Times New Roman" w:cs="Times New Roman" w:eastAsia="Times New Roman" w:hAnsi="Times New Roman"/>
          <w:sz w:val="24"/>
          <w:szCs w:val="24"/>
          <w:rtl w:val="0"/>
        </w:rPr>
        <w:t xml:space="preserve">le roi de Pollhain</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Et davantage est encoires plus que besoing à cause que sommes tout pour vrai adverti que son ambassadeur, estant en </w:t>
      </w:r>
      <w:commentRangeStart w:id="10"/>
      <w:r w:rsidDel="00000000" w:rsidR="00000000" w:rsidRPr="00000000">
        <w:rPr>
          <w:rFonts w:ascii="Times New Roman" w:cs="Times New Roman" w:eastAsia="Times New Roman" w:hAnsi="Times New Roman"/>
          <w:sz w:val="24"/>
          <w:szCs w:val="24"/>
          <w:rtl w:val="0"/>
        </w:rPr>
        <w:t xml:space="preserve">France</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communique illec de traicter </w:t>
      </w:r>
      <w:commentRangeStart w:id="11"/>
      <w:r w:rsidDel="00000000" w:rsidR="00000000" w:rsidRPr="00000000">
        <w:rPr>
          <w:rFonts w:ascii="Times New Roman" w:cs="Times New Roman" w:eastAsia="Times New Roman" w:hAnsi="Times New Roman"/>
          <w:sz w:val="24"/>
          <w:szCs w:val="24"/>
          <w:rtl w:val="0"/>
        </w:rPr>
        <w:t xml:space="preserve">mariage</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du filz dud. roi de Pollhain avec une des filles de France et que les deux princes moyennant cest acord donneront à leursd. enffans le droit qu’ilz pretendent en la </w:t>
      </w:r>
      <w:commentRangeStart w:id="12"/>
      <w:r w:rsidDel="00000000" w:rsidR="00000000" w:rsidRPr="00000000">
        <w:rPr>
          <w:rFonts w:ascii="Times New Roman" w:cs="Times New Roman" w:eastAsia="Times New Roman" w:hAnsi="Times New Roman"/>
          <w:sz w:val="24"/>
          <w:szCs w:val="24"/>
          <w:rtl w:val="0"/>
        </w:rPr>
        <w:t xml:space="preserve">duché de Millan</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Je me donne</w:t>
      </w:r>
      <w:r w:rsidDel="00000000" w:rsidR="00000000" w:rsidRPr="00000000">
        <w:rPr>
          <w:rFonts w:ascii="Times New Roman" w:cs="Times New Roman" w:eastAsia="Times New Roman" w:hAnsi="Times New Roman"/>
          <w:sz w:val="24"/>
          <w:szCs w:val="24"/>
          <w:vertAlign w:val="superscript"/>
          <w:rtl w:val="0"/>
        </w:rPr>
        <w:t xml:space="preserve">f</w:t>
      </w:r>
      <w:r w:rsidDel="00000000" w:rsidR="00000000" w:rsidRPr="00000000">
        <w:rPr>
          <w:rFonts w:ascii="Times New Roman" w:cs="Times New Roman" w:eastAsia="Times New Roman" w:hAnsi="Times New Roman"/>
          <w:sz w:val="24"/>
          <w:szCs w:val="24"/>
          <w:rtl w:val="0"/>
        </w:rPr>
        <w:t xml:space="preserve">) grand merveille que led. roi de Pollhain entende à telle pratique qu’est directement contre nous et nostre alliance,</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 parquoi je mande</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 en credence aud. visconte que au plustot que les aultres plus necessaires affaires de sa</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charge la pourront porter, il se trouve</w:t>
      </w:r>
      <w:r w:rsidDel="00000000" w:rsidR="00000000" w:rsidRPr="00000000">
        <w:rPr>
          <w:rFonts w:ascii="Times New Roman" w:cs="Times New Roman" w:eastAsia="Times New Roman" w:hAnsi="Times New Roman"/>
          <w:sz w:val="24"/>
          <w:szCs w:val="24"/>
          <w:vertAlign w:val="superscript"/>
          <w:rtl w:val="0"/>
        </w:rPr>
        <w:t xml:space="preserve">j</w:t>
      </w:r>
      <w:r w:rsidDel="00000000" w:rsidR="00000000" w:rsidRPr="00000000">
        <w:rPr>
          <w:rFonts w:ascii="Times New Roman" w:cs="Times New Roman" w:eastAsia="Times New Roman" w:hAnsi="Times New Roman"/>
          <w:sz w:val="24"/>
          <w:szCs w:val="24"/>
          <w:rtl w:val="0"/>
        </w:rPr>
        <w:t xml:space="preserve">) devers led. roi de Pollhain et par bonnes remonstrances et persuasions qu’il fera tienne main</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qu’il se vuelle deporter de tenir aulcune pratique n’y prendre alliance avec nostre ennemi et qu’il nous advertisse de son</w:t>
      </w:r>
      <w:r w:rsidDel="00000000" w:rsidR="00000000" w:rsidRPr="00000000">
        <w:rPr>
          <w:rFonts w:ascii="Times New Roman" w:cs="Times New Roman" w:eastAsia="Times New Roman" w:hAnsi="Times New Roman"/>
          <w:sz w:val="24"/>
          <w:szCs w:val="24"/>
          <w:vertAlign w:val="superscript"/>
          <w:rtl w:val="0"/>
        </w:rPr>
        <w:t xml:space="preserve">l</w:t>
      </w:r>
      <w:r w:rsidDel="00000000" w:rsidR="00000000" w:rsidRPr="00000000">
        <w:rPr>
          <w:rFonts w:ascii="Times New Roman" w:cs="Times New Roman" w:eastAsia="Times New Roman" w:hAnsi="Times New Roman"/>
          <w:sz w:val="24"/>
          <w:szCs w:val="24"/>
          <w:rtl w:val="0"/>
        </w:rPr>
        <w:t xml:space="preserve">) besoingne sur ce.</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1) Das Stück ohne ursprüngliches Datum. Von späterer Hand wurde die obige Datierung hinzugefügt, die auch in B. angegeben wird. Sie hat insofern einige Wahrscheinlichkeit für sich, da das Konzept des Briefes K’s an F vom 11. Juli 1524 auf der Rückseite den Entwurf eines Schreibens K’s an Hannart trägt, das inhaltlich dem vorliegenden nahekommt.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a)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Chier et feal, par la voie... Flandres vous avons fait responce à tout. . . escript tant par maistre Michel Gillis que depuis par les postes et actendons sçavoir de vostre besoigne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 - b)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tant par maistre Michel Gillis que depuis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B. - c)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actendz — aura</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am Rande nachgetragen W. - d) J’escriptz — que am Rande nachgetragen W. - e)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voz</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f)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nous nous donnons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g)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mes alliances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B. - h)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voz requerons et neantmoins ordonnons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i)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vostre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 - j)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vouz trouvez</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k)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ferez tenez main</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l)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vostre</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m) B reicht nur bis hieher. Das Folgende aus W offenbar für Hannart bestimmt: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Et quant à vostre traictement et sallaire, il ne s’est peu trouver nul charge pardeça, mais nous sommes content que le prenez pardela à le rembourser ici et moins le ferois faire de sorte qu’il n’y aura faulte au payement et que en serez devenant indampne et deschargé, comme appertient par la raison. Donné etc.</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Vielleicht darf man annehmen, daß das vorliegende Konzept, nachdem es als Vorlage für einen Brief an Hannart gedient hatte, umgeändert worden ist, um als Entwurf für den vorliegenden Brief benützt zu werden. — Erwähnt wird der vorliegende Brief von Bucholtz 2, S. 255.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Die Heiratsvermittlung hatte in Polen der französische Gesandte </w:t>
      </w:r>
      <w:commentRangeStart w:id="13"/>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Rincon</w:t>
      </w:r>
      <w:commentRangeEnd w:id="13"/>
      <w:r w:rsidDel="00000000" w:rsidR="00000000" w:rsidRPr="00000000">
        <w:commentReference w:id="13"/>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betrieben. Vgl. H. Übersberger, Österreich und Rußland 1, S. 182f. Hannart ging nicht nach Polen, dessen Kg er auch das </w:t>
      </w:r>
      <w:commentRangeStart w:id="14"/>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Goldene Vließ</w:t>
      </w:r>
      <w:commentRangeEnd w:id="14"/>
      <w:r w:rsidDel="00000000" w:rsidR="00000000" w:rsidRPr="00000000">
        <w:commentReference w:id="14"/>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überbringen sollte. Vgl. Nr. 102.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0"/>
          <w:szCs w:val="20"/>
          <w:u w:val="none"/>
          <w:shd w:fill="auto" w:val="clear"/>
          <w:vertAlign w:val="baseline"/>
        </w:rPr>
      </w:pPr>
      <w:r w:rsidDel="00000000" w:rsidR="00000000" w:rsidRPr="00000000">
        <w:rPr>
          <w:rtl w:val="0"/>
        </w:rPr>
      </w:r>
    </w:p>
    <w:sectPr>
      <w:pgSz w:h="16838" w:w="11906" w:orient="portrait"/>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el Laura" w:id="10" w:date="2017-11-08T12:42: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Frankreich</w:t>
      </w:r>
    </w:p>
  </w:comment>
  <w:comment w:author="Abel Laura" w:id="2" w:date="2017-11-08T12:33:0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Hannart</w:t>
      </w:r>
    </w:p>
  </w:comment>
  <w:comment w:author="Abel Laura" w:id="3" w:date="2017-11-08T12:34: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Dänemark</w:t>
      </w:r>
    </w:p>
  </w:comment>
  <w:comment w:author="Abel Laura" w:id="11" w:date="2017-11-08T18:12:0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Heiratsprojekt, Polen - Frankreich</w:t>
      </w:r>
    </w:p>
  </w:comment>
  <w:comment w:author="Abel Laura" w:id="13" w:date="2017-11-08T12:45:0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Rincón, Antonio de, ehemaliger Comunero, im Dienste Frankreichs</w:t>
      </w:r>
    </w:p>
  </w:comment>
  <w:comment w:author="Abel Laura" w:id="0" w:date="2017-11-08T12:33:0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Italien</w:t>
      </w:r>
    </w:p>
  </w:comment>
  <w:comment w:author="Abel Laura" w:id="8" w:date="2017-11-08T12:37:0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Hannart</w:t>
      </w:r>
    </w:p>
  </w:comment>
  <w:comment w:author="Abel Laura" w:id="7" w:date="2017-11-08T12:35:00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Johann III. von Portugal</w:t>
      </w:r>
    </w:p>
  </w:comment>
  <w:comment w:author="Abel Laura" w:id="12" w:date="2017-11-08T12:43:0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Mailand</w:t>
      </w:r>
    </w:p>
  </w:comment>
  <w:comment w:author="Abel Laura" w:id="1" w:date="2017-11-08T12:33:0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Flandern</w:t>
      </w:r>
    </w:p>
  </w:comment>
  <w:comment w:author="Abel Laura" w:id="5" w:date="2017-11-08T18:12:00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Heirat, Katharina von Österreich mit Johann III. von Portugal</w:t>
      </w:r>
    </w:p>
  </w:comment>
  <w:comment w:author="Abel Laura" w:id="4" w:date="2017-11-08T12:34:0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Sachsen</w:t>
      </w:r>
    </w:p>
  </w:comment>
  <w:comment w:author="Abel Laura" w:id="9" w:date="2017-11-08T12:41:0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Sigismund I.</w:t>
      </w:r>
    </w:p>
  </w:comment>
  <w:comment w:author="Abel Laura" w:id="14" w:date="2017-11-08T12:45:0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Goldenes Vließ, Orden</w:t>
      </w:r>
    </w:p>
  </w:comment>
  <w:comment w:author="Abel Laura" w:id="6" w:date="2017-11-08T12:34:0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Katharina von Österreich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