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🔁 Atualização 02/10/2026 (3) — Fornecedores de KYC trocáveis, retenção de leads, revisão de segurança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com vários fornecedores intercambiáveis: Didit (pessoas, empresas, sanções), OpenSanctions (sanções/PEP), Stripe Identity (pessoas), Sumsub e Trulioo. Cada funcionalidade (pessoas, empresas, sanções) pode ser servida por um fornecedor diferente; a operação muda de fornecedor no backoffice (KYC · Condições → Fornecedores), para um cliente ou para todos, sem deploy. Se o fornecedor escolhido não puder fazer a funcionalidade usa-se outro que possa; se nenhum puder, modo manual. O que o cliente paga não depende do fornecedor. As verificações automáticas devolvem o link que a pessoa deve abrir.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 dos webhooks e das decisões: uma notificação tardia ou repetida nunca altera uma decisão humana nem um resultado final; a aprovação só vale se o nome verificado coincide com o do pedido (senão, revisão humana); o rastreio de sanções nunca lê uma resposta malformada como “sem correspondência”; qualquer hit com “Aprovado” vai para revisão; Didit valida também o carimbo temporal assinado (anti-repetição); Sumsub deixou de oferecer sanções (nunca testado) e passou a devolver o link de verificação.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site: apagar um lead ou todos os leads de um email (RGPD) e remoção automática 24 meses após a última atividade, exceto se o email for de um utilizador ou contacto de um cliente (tarefa diária às 03:15).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Suporte: numeração de tickets sem colisões (antes um ticket apagado podia bloquear a criação de novos), notas internas já não alteram o estado visível ao cliente, só agentes ativos contam, anexos limitados a 10 MB e à própria conversa, e o perfil Agente de Suporte só consegue chamar o suporte e o necessário para a aplicação funcionar.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ambientais: quem não tem acesso ao ESG volta a poder editar um objetivo ligado a uma métrica (antes falhava) sem poder alterar a ligação; a pesquisa de controlos unificados passa a seguir a mesma permissão da API.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Ferramentas: script para ligar/desligar as contas de teste automático (scripts/test-accounts.mjs), CI no GitHub (tipos, lint, testes), ESLint 9, testes do backend estáveis (271 → 290, ordem aleatória, sob carga) e sem vulnerabilidades conhecidas nas dependências.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⚙️ Atualização 05/10/2026 — Configuração do servidor 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as variáveis das integrações (suporte, leads, KYC — Didit, OpenSanctions, Stripe Identity, Sumsub, Trulioo —, Stripe de faturação) não chegavam ao servidor porque os ficheiros docker-compose não as repassavam; passaram a repassar (vazias = desativadas). Em produção, SUPPORT_NOTIFY_EMAIL tem por omissão support@icomply.pt.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CORS: o site icomply.pt (e www.icomply.pt) já são aceites pela API; não é preciso configurar nada para os formulários do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Tickets abertos pelas contas de teste automático (*@icomply-test.pt) já não enviam emails à equipa e podem ser apagados no ecrã de suporte (apenas esses; nunca tickets de clientes).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