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nom, prenom)</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pourcentage_par_vente)</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mat_vendeur</w:t>
      </w:r>
      <w:r>
        <w:rPr>
          <w:sz w:val="28"/>
          <w:szCs w:val="28"/>
        </w:rPr>
        <w:t>,</w:t>
      </w:r>
      <w:r>
        <w:rPr>
          <w:sz w:val="28"/>
          <w:szCs w:val="28"/>
          <w:u w:val="single"/>
        </w:rPr>
        <w:t xml:space="preserve"> id_vehicule</w:t>
      </w:r>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r>
        <w:rPr>
          <w:sz w:val="28"/>
          <w:szCs w:val="28"/>
          <w:u w:val="single"/>
        </w:rPr>
        <w:t>Mat_vendeur</w:t>
      </w:r>
      <w:r>
        <w:rPr>
          <w:sz w:val="28"/>
          <w:szCs w:val="28"/>
        </w:rPr>
        <w:t xml:space="preserve">, </w:t>
      </w:r>
      <w:r>
        <w:rPr>
          <w:sz w:val="28"/>
          <w:szCs w:val="28"/>
          <w:u w:val="single"/>
        </w:rPr>
        <w:t>id_vehicule</w:t>
      </w:r>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r>
        <w:rPr>
          <w:sz w:val="28"/>
          <w:szCs w:val="28"/>
          <w:u w:val="single"/>
        </w:rPr>
        <w:t>Id_vehicule</w:t>
      </w:r>
      <w:r>
        <w:rPr>
          <w:sz w:val="28"/>
          <w:szCs w:val="28"/>
        </w:rPr>
        <w:t xml:space="preserve">, </w:t>
      </w:r>
      <w:r>
        <w:rPr>
          <w:sz w:val="28"/>
          <w:szCs w:val="28"/>
          <w:u w:val="single"/>
        </w:rPr>
        <w:t>adr_concessionnaire</w:t>
      </w:r>
      <w:r>
        <w:rPr>
          <w:sz w:val="28"/>
          <w:szCs w:val="28"/>
        </w:rPr>
        <w:t xml:space="preserve">, </w:t>
      </w:r>
      <w:r>
        <w:rPr>
          <w:sz w:val="28"/>
          <w:szCs w:val="28"/>
          <w:u w:val="single"/>
        </w:rPr>
        <w:t>date_exe</w:t>
      </w:r>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7">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77777777"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30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7777777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proofErr w:type="gramStart"/>
      <w:r>
        <w:rPr>
          <w:sz w:val="28"/>
          <w:szCs w:val="28"/>
        </w:rPr>
        <w:t>vendeur(</w:t>
      </w:r>
      <w:proofErr w:type="gramEnd"/>
      <w:r>
        <w:rPr>
          <w:sz w:val="28"/>
          <w:szCs w:val="28"/>
        </w:rPr>
        <w:t>Triggers)</w:t>
      </w:r>
    </w:p>
    <w:p w14:paraId="6F17C88F" w14:textId="77777777" w:rsidR="00983270" w:rsidRDefault="00000000">
      <w:pPr>
        <w:spacing w:line="276" w:lineRule="auto"/>
        <w:rPr>
          <w:sz w:val="28"/>
          <w:szCs w:val="28"/>
        </w:rPr>
      </w:pPr>
      <w:r>
        <w:rPr>
          <w:sz w:val="28"/>
          <w:szCs w:val="28"/>
        </w:rPr>
        <w:t>Reprise.date_reprise est par défaut la date actuelle (default)</w:t>
      </w:r>
    </w:p>
    <w:p w14:paraId="7E761476" w14:textId="77777777" w:rsidR="00983270" w:rsidRDefault="00000000">
      <w:pPr>
        <w:spacing w:line="276" w:lineRule="auto"/>
        <w:rPr>
          <w:sz w:val="28"/>
          <w:szCs w:val="28"/>
        </w:rPr>
      </w:pPr>
      <w:r>
        <w:rPr>
          <w:sz w:val="28"/>
          <w:szCs w:val="28"/>
        </w:rPr>
        <w:t xml:space="preserve">Reprise.date_reprise ne peut pas être antérieur à </w:t>
      </w:r>
      <w:proofErr w:type="spellStart"/>
      <w:r>
        <w:rPr>
          <w:sz w:val="28"/>
          <w:szCs w:val="28"/>
        </w:rPr>
        <w:t>Vente.date_achat</w:t>
      </w:r>
      <w:proofErr w:type="spellEnd"/>
      <w:r>
        <w:rPr>
          <w:sz w:val="28"/>
          <w:szCs w:val="28"/>
        </w:rPr>
        <w:t xml:space="preserve"> du véhicule (check)</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r>
        <w:rPr>
          <w:sz w:val="28"/>
          <w:szCs w:val="28"/>
        </w:rPr>
        <w:t>lors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Calculer le profit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sectPr w:rsidR="00983270">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3"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3"/>
  </w:num>
  <w:num w:numId="3" w16cid:durableId="1915778276">
    <w:abstractNumId w:val="0"/>
  </w:num>
  <w:num w:numId="4" w16cid:durableId="147837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983270"/>
    <w:rsid w:val="00CA7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yz@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985</Words>
  <Characters>5420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 kanga</cp:lastModifiedBy>
  <cp:revision>3</cp:revision>
  <dcterms:created xsi:type="dcterms:W3CDTF">2023-12-27T21:41:00Z</dcterms:created>
  <dcterms:modified xsi:type="dcterms:W3CDTF">2023-12-27T21:53:00Z</dcterms:modified>
</cp:coreProperties>
</file>