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dQilly BOQ Unit Rules and Pricing Calculations</w:t>
      </w:r>
    </w:p>
    <w:p>
      <w:pPr/>
      <w:r>
        <w:t xml:space="preserve">d•    Implementation reference - active production code reviewed 14 September 2026</w:t>
      </w:r>
    </w:p>
    <w:p>
      <w:pPr/>
      <w:r>
        <w:t xml:space="preserve">d1. Active calculation sequence</w:t>
      </w:r>
    </w:p>
    <w:p>
      <w:pPr/>
      <w:r>
        <w:t xml:space="preserve">d•    Ordinary material amount = total landed cost x CIDB factor x duration factor x machinery factor x (1 + profit margin).</w:t>
      </w:r>
    </w:p>
    <w:p>
      <w:pPr/>
      <w:r>
        <w:t xml:space="preserve">d•    Base price: supplier catalogue rate, adjusted by selected-province factor and transport optimisation.</w:t>
      </w:r>
    </w:p>
    <w:p>
      <w:pPr/>
      <w:r>
        <w:t xml:space="preserve">d•    CIDB: GB1 +2%; GB2 +3%; GB3 +4%; GB4 +5%; GB5 +6%; GB6 +7%; GB7 +8%; GB8 +9%; GB9 +10%. Unknown classes default to +5%.</w:t>
      </w:r>
    </w:p>
    <w:p>
      <w:pPr/>
      <w:r>
        <w:t xml:space="preserve">d•    Duration: 1 month +5%; 2-3 months +2%; 4-12 months 0%; 13-18 months -1%; 19-24 months -2%; 25-36 months -3%.</w:t>
      </w:r>
    </w:p>
    <w:p>
      <w:pPr/>
      <w:r>
        <w:t xml:space="preserve">d•    Machinery: owned -5%; rented +3%.</w:t>
      </w:r>
    </w:p>
    <w:p>
      <w:pPr/>
      <w:r>
        <w:t xml:space="preserve">d•    Profit: applied last; selectable from 1%-25%.</w:t>
      </w:r>
    </w:p>
    <w:p>
      <w:pPr/>
      <w:r>
        <w:t xml:space="preserve">d•    Final unit rate = final amount / BOQ quantity. Adjustments compound.</w:t>
      </w:r>
    </w:p>
    <w:p>
      <w:pPr/>
      <w:r>
        <w:t xml:space="preserve">d2. Quantity rules</w:t>
      </w:r>
    </w:p>
    <w:p>
      <w:pPr/>
      <w:r>
        <w:t xml:space="preserve">d•    Valid numeric QTY multiplies ordinary material, labour and equipment rates.</w:t>
      </w:r>
    </w:p>
    <w:p>
      <w:pPr/>
      <w:r>
        <w:t xml:space="preserve">d•    Blank or zero QTY returns zero pricing for ordinary items.</w:t>
      </w:r>
    </w:p>
    <w:p>
      <w:pPr/>
      <w:r>
        <w:t xml:space="preserve">d•    Invalid text QTY falls back to 1 in several paths; stricter validation is recommended.</w:t>
      </w:r>
    </w:p>
    <w:p>
      <w:pPr/>
      <w:r>
        <w:t xml:space="preserve">d•    Rate Only in the QTY column is converted to QTY 1 and marked rate-only.</w:t>
      </w:r>
    </w:p>
    <w:p>
      <w:pPr/>
      <w:r>
        <w:t xml:space="preserve">d•    Lump, prime-cost and provisional sums are forced to QTY 1.</w:t>
      </w:r>
    </w:p>
    <w:p>
      <w:pPr/>
      <w:r>
        <w:t xml:space="preserve">d•    Square-metre totals now correctly use landed rate x QTY; the prior one-unit defect was fixed.</w:t>
      </w:r>
    </w:p>
    <w:p>
      <w:pPr/>
      <w:r>
        <w:t xml:space="preserve">d3. Special units</w:t>
      </w:r>
    </w:p>
    <w:p>
      <w:pPr/>
      <w:r>
        <w:t xml:space="preserve">d•    PROVISIONAL SUM aliases: provisional sum, p/s, prov sum, or description containing provisional sum. Catalogue/provincial price is used directly; QTY 1; no CIDB, duration, machinery or user margin.</w:t>
      </w:r>
    </w:p>
    <w:p>
      <w:pPr/>
      <w:r>
        <w:t xml:space="preserve">d•    PRIME COST SUM aliases: prime cost, pc sum, pc, or description containing prime cost/pc sum. Catalogue/provincial price + fixed 12.5% handling; QTY 1; no other project adjustments.</w:t>
      </w:r>
    </w:p>
    <w:p>
      <w:pPr/>
      <w:r>
        <w:t xml:space="preserve">d•    LUMP SUM aliases: lump sum, lumpsum, lump, ls, l/s, sum. Catalogue/provincial price + fixed 5% coordination overhead; QTY 1; no other project adjustments.</w:t>
      </w:r>
    </w:p>
    <w:p>
      <w:pPr/>
      <w:r>
        <w:t xml:space="preserve">d•    PERCENTAGE aliases: % or text containing percent. Active engine treats these as special but does not reliably calculate against a referenced BOQ item.</w:t>
      </w:r>
    </w:p>
    <w:p>
      <w:pPr/>
      <w:r>
        <w:t xml:space="preserve">d•    NO MATCH: unmatched special items currently receive a R50,000 placeholder and Not Available supplier status. This must not be relied on for tender submission.</w:t>
      </w:r>
    </w:p>
    <w:p>
      <w:pPr/>
      <w:r>
        <w:t xml:space="preserve">d4. Ordinary unit families and aliases</w:t>
      </w:r>
    </w:p>
    <w:p>
      <w:pPr/>
      <w:r>
        <w:t xml:space="preserve">d•    Bag: bag, bags (1:1).</w:t>
      </w:r>
    </w:p>
    <w:p>
      <w:pPr/>
      <w:r>
        <w:t xml:space="preserve">d•    Count: unit, units, ea, each (1:1).</w:t>
      </w:r>
    </w:p>
    <w:p>
      <w:pPr/>
      <w:r>
        <w:t xml:space="preserve">d•    Number: No/no and nr work as ordinary units with QTY multiplication but are not centrally normalised.</w:t>
      </w:r>
    </w:p>
    <w:p>
      <w:pPr/>
      <w:r>
        <w:t xml:space="preserve">d•    Length: meter, meters, metre, metres, m (1:1).</w:t>
      </w:r>
    </w:p>
    <w:p>
      <w:pPr/>
      <w:r>
        <w:t xml:space="preserve">d•    Area: m2, m squared, sqm, squaremeter, square meter, square metre (1:1).</w:t>
      </w:r>
    </w:p>
    <w:p>
      <w:pPr/>
      <w:r>
        <w:t xml:space="preserve">d•    Hectare: ha, hectare, hectares; 1 ha = 10,000 m2.</w:t>
      </w:r>
    </w:p>
    <w:p>
      <w:pPr/>
      <w:r>
        <w:t xml:space="preserve">d•    Volume: m3, cubicmeter, cubic meter (1:1).</w:t>
      </w:r>
    </w:p>
    <w:p>
      <w:pPr/>
      <w:r>
        <w:t xml:space="preserve">d•    Tonnes: ton, tons, tonne, tonnes, t, mt, metric ton, metric tons.</w:t>
      </w:r>
    </w:p>
    <w:p>
      <w:pPr/>
      <w:r>
        <w:t xml:space="preserve">d•    Kilograms: kg, kgs, kilogram, kilograms; legacy tonne relationship uses factor 1,000.</w:t>
      </w:r>
    </w:p>
    <w:p>
      <w:pPr/>
      <w:r>
        <w:t xml:space="preserve">d•    Litres: liter, litre, l, ltr, liters, litres (1:1).</w:t>
      </w:r>
    </w:p>
    <w:p>
      <w:pPr/>
      <w:r>
        <w:t xml:space="preserve">d•    Millilitres: ml and full-name variants; 0.001 litre.</w:t>
      </w:r>
    </w:p>
    <w:p>
      <w:pPr/>
      <w:r>
        <w:t xml:space="preserve">d•    Kilolitres: kl and full-name variants; 1,000 litres.</w:t>
      </w:r>
    </w:p>
    <w:p>
      <w:pPr/>
      <w:r>
        <w:t xml:space="preserve">d•    Month: ordinary unit; amount uses the month QTY.</w:t>
      </w:r>
    </w:p>
    <w:p>
      <w:pPr/>
      <w:r>
        <w:t xml:space="preserve">d•    Percentage: %, percentage, percent.</w:t>
      </w:r>
    </w:p>
    <w:p>
      <w:pPr/>
      <w:r>
        <w:t xml:space="preserve">d•    The conversion families are in the legacy engine. The active regional engine mainly trusts supplier catalogue totals and does not consistently invoke this conversion table.</w:t>
      </w:r>
    </w:p>
    <w:p>
      <w:pPr/>
      <w:r>
        <w:t xml:space="preserve">d5. Proposed BOQ comparison</w:t>
      </w:r>
    </w:p>
    <w:p>
      <w:pPr/>
      <w:r>
        <w:t xml:space="preserve">d•    Fixed/value obligations - lump sum: supported; QTY 1; fixed 5% overhead.</w:t>
      </w:r>
    </w:p>
    <w:p>
      <w:pPr/>
      <w:r>
        <w:t xml:space="preserve">d•    Mobilisation - month x 3: supported.</w:t>
      </w:r>
    </w:p>
    <w:p>
      <w:pPr/>
      <w:r>
        <w:t xml:space="preserve">d•    Execution - month x 8: supported.</w:t>
      </w:r>
    </w:p>
    <w:p>
      <w:pPr/>
      <w:r>
        <w:t xml:space="preserve">d•    De-establishment/re-establishment - No x 1: supported as ordinary units.</w:t>
      </w:r>
    </w:p>
    <w:p>
      <w:pPr/>
      <w:r>
        <w:t xml:space="preserve">d•    Suspension - month x 4: supported.</w:t>
      </w:r>
    </w:p>
    <w:p>
      <w:pPr/>
      <w:r>
        <w:t xml:space="preserve">d•    Engineer's cost - prime cost (PC) sum: supported; QTY 1; fixed 12.5% handling.</w:t>
      </w:r>
    </w:p>
    <w:p>
      <w:pPr/>
      <w:r>
        <w:t xml:space="preserve">d•    Contract sign boards - m2 x 20: supported and corrected to scale by 20.</w:t>
      </w:r>
    </w:p>
    <w:p>
      <w:pPr/>
      <w:r>
        <w:t xml:space="preserve">d•    TOTAL CARRIED FORWARD TO SUMMARY: row is preserved, but active regional engine currently returns zero instead of summing the section.</w:t>
      </w:r>
    </w:p>
    <w:p>
      <w:pPr/>
      <w:r>
        <w:t xml:space="preserve">d6. Province and project settings</w:t>
      </w:r>
    </w:p>
    <w:p>
      <w:pPr/>
      <w:r>
        <w:t xml:space="preserve">d•    Project pricing is available for all nine South African provinces regardless of a contractor's registered operating provinces.</w:t>
      </w:r>
    </w:p>
    <w:p>
      <w:pPr/>
      <w:r>
        <w:t xml:space="preserve">d•    Operating provinces can be updated on the dashboard.</w:t>
      </w:r>
    </w:p>
    <w:p>
      <w:pPr/>
      <w:r>
        <w:t xml:space="preserve">d•    Project duration includes every integer month from 1 through 36.</w:t>
      </w:r>
    </w:p>
    <w:p>
      <w:pPr/>
      <w:r>
        <w:t xml:space="preserve">d7. Known gaps and recommended rules</w:t>
      </w:r>
    </w:p>
    <w:p>
      <w:pPr/>
      <w:r>
        <w:t xml:space="preserve">d•    HIGH: replace the R50,000 special-sum fallback with a required tender-entered rate/amount or Pricing Required.</w:t>
      </w:r>
    </w:p>
    <w:p>
      <w:pPr/>
      <w:r>
        <w:t xml:space="preserve">d•    HIGH: imported RATE and AMT columns are detected but not retained in the BillItem model; add tenderRate and tenderAmount.</w:t>
      </w:r>
    </w:p>
    <w:p>
      <w:pPr/>
      <w:r>
        <w:t xml:space="preserve">d•    HIGH: calculate TOTAL CARRIED FORWARD using explicit parent/child codes or a declared range.</w:t>
      </w:r>
    </w:p>
    <w:p>
      <w:pPr/>
      <w:r>
        <w:t xml:space="preserve">d•    MEDIUM: require a reference code for percentage rows and calculate QTY% x referenced amount / 100.</w:t>
      </w:r>
    </w:p>
    <w:p>
      <w:pPr/>
      <w:r>
        <w:t xml:space="preserve">d•    MEDIUM: centralise unit normalisation across upload, categorisation and both engines.</w:t>
      </w:r>
    </w:p>
    <w:p>
      <w:pPr/>
      <w:r>
        <w:t xml:space="preserve">d•    MEDIUM: test kilogram/tonne conversion direction and rate semantics.</w:t>
      </w:r>
    </w:p>
    <w:p>
      <w:pPr/>
      <w:r>
        <w:t xml:space="preserve">d•    LOW: remove duplicate special-unit detection to prevent alias and markup drift.</w:t>
      </w:r>
    </w:p>
    <w:p>
      <w:pPr/>
      <w:r>
        <w:t xml:space="preserve">d8. Recommended canonical units</w:t>
      </w:r>
    </w:p>
    <w:p>
      <w:pPr/>
      <w:r>
        <w:t xml:space="preserve">d•    No.; item; sum; lump sum; prime cost (PC) sum; provisional sum; %; month; hour; day; m; m2; m3; km; kg; t; L; kL; bag; pair; set.</w:t>
      </w:r>
    </w:p>
    <w:p>
      <w:pPr/>
      <w:r>
        <w:t xml:space="preserve">d•    Aliases may be accepted during upload but should be normalised to these display values.</w:t>
      </w:r>
    </w:p>
    <w:p>
      <w:pPr/>
      <w:r>
        <w:t xml:space="preserve">dDocument status</w:t>
      </w:r>
    </w:p>
    <w:p>
      <w:pPr/>
      <w:r>
        <w:t xml:space="preserve">d•    Describes Qilly code deployed on 14 September 2026. Special-sum commercial treatment is documented, not redesigned. Handling-percentage changes require approval.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0"/>
    </w:rPr>
    <w:pPr>
      <w:spacing w:after="100"/>
    </w:pPr>
  </w:style>
  <w:style w:type="paragraph" w:styleId="Title">
    <w:name w:val="Title"/>
    <w:basedOn w:val="Normal"/>
    <w:rPr>
      <w:b/>
      <w:color w:val="0077B6"/>
      <w:sz w:val="36"/>
    </w:rPr>
  </w:style>
  <w:style w:type="paragraph" w:styleId="Heading1">
    <w:name w:val="heading 1"/>
    <w:basedOn w:val="Normal"/>
    <w:rPr>
      <w:b/>
      <w:color w:val="0077B6"/>
      <w:sz w:val="28"/>
    </w:rPr>
    <w:pPr>
      <w:spacing w:before="240" w:after="1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Qilly BOQ Unit Rules and Pricing Calculations</dc:title>
  <dc:creator>Qilly Software</dc:creator>
  <dcterms:created xsi:type="dcterms:W3CDTF">2026-09-14T00:00:00Z</dcterms:created>
</cp:coreProperties>
</file>