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661D3" w14:textId="77777777" w:rsidR="000A70DB" w:rsidRDefault="000A70DB" w:rsidP="000A70DB">
      <w:pPr>
        <w:spacing w:before="100" w:beforeAutospacing="1" w:after="100" w:afterAutospacing="1"/>
        <w:jc w:val="center"/>
        <w:rPr>
          <w:rFonts w:ascii="Times New Roman" w:eastAsia="Times New Roman" w:hAnsi="Times New Roman" w:cs="Times New Roman"/>
          <w:b/>
          <w:bCs/>
          <w:kern w:val="0"/>
          <w:sz w:val="32"/>
          <w:szCs w:val="32"/>
          <w:lang w:val="en-IN" w:eastAsia="en-IN"/>
          <w14:ligatures w14:val="none"/>
        </w:rPr>
      </w:pPr>
      <w:r w:rsidRPr="000A70DB">
        <w:rPr>
          <w:rFonts w:ascii="Times New Roman" w:eastAsia="Times New Roman" w:hAnsi="Times New Roman" w:cs="Times New Roman"/>
          <w:b/>
          <w:bCs/>
          <w:kern w:val="0"/>
          <w:sz w:val="32"/>
          <w:szCs w:val="32"/>
          <w:lang w:val="en-IN" w:eastAsia="en-IN"/>
          <w14:ligatures w14:val="none"/>
        </w:rPr>
        <w:t>AI-Driven Framework for Simultaneous Detection of Multiple Eye Diseases</w:t>
      </w:r>
    </w:p>
    <w:p w14:paraId="27981630" w14:textId="01C89A1F" w:rsidR="001E616F" w:rsidRPr="00AB2D79" w:rsidRDefault="00AB2D79" w:rsidP="001E616F">
      <w:pPr>
        <w:jc w:val="center"/>
        <w:rPr>
          <w:rFonts w:ascii="Times New Roman" w:hAnsi="Times New Roman" w:cs="Times New Roman"/>
          <w:b/>
          <w:bCs/>
          <w:sz w:val="20"/>
          <w:szCs w:val="20"/>
        </w:rPr>
      </w:pPr>
      <w:r>
        <w:rPr>
          <w:rFonts w:ascii="Times New Roman" w:hAnsi="Times New Roman" w:cs="Times New Roman"/>
          <w:b/>
          <w:bCs/>
          <w:sz w:val="20"/>
          <w:szCs w:val="20"/>
        </w:rPr>
        <w:t>*</w:t>
      </w:r>
      <w:r w:rsidR="001E616F" w:rsidRPr="00AB2D79">
        <w:rPr>
          <w:rFonts w:ascii="Times New Roman" w:hAnsi="Times New Roman" w:cs="Times New Roman"/>
          <w:b/>
          <w:bCs/>
          <w:sz w:val="20"/>
          <w:szCs w:val="20"/>
        </w:rPr>
        <w:t>D</w:t>
      </w:r>
      <w:r>
        <w:rPr>
          <w:rFonts w:ascii="Times New Roman" w:hAnsi="Times New Roman" w:cs="Times New Roman"/>
          <w:b/>
          <w:bCs/>
          <w:sz w:val="20"/>
          <w:szCs w:val="20"/>
        </w:rPr>
        <w:t xml:space="preserve">. </w:t>
      </w:r>
      <w:r w:rsidR="001E616F" w:rsidRPr="00AB2D79">
        <w:rPr>
          <w:rFonts w:ascii="Times New Roman" w:hAnsi="Times New Roman" w:cs="Times New Roman"/>
          <w:b/>
          <w:bCs/>
          <w:sz w:val="20"/>
          <w:szCs w:val="20"/>
        </w:rPr>
        <w:t>Jayanarayana Reddy</w:t>
      </w:r>
      <w:r w:rsidR="001E616F" w:rsidRPr="00AB2D79">
        <w:rPr>
          <w:rFonts w:ascii="Times New Roman" w:hAnsi="Times New Roman" w:cs="Times New Roman"/>
          <w:b/>
          <w:bCs/>
          <w:sz w:val="20"/>
          <w:szCs w:val="20"/>
          <w:vertAlign w:val="superscript"/>
        </w:rPr>
        <w:t>1</w:t>
      </w:r>
      <w:r w:rsidR="001E616F" w:rsidRPr="00AB2D79">
        <w:rPr>
          <w:rFonts w:ascii="Times New Roman" w:hAnsi="Times New Roman" w:cs="Times New Roman"/>
          <w:b/>
          <w:bCs/>
          <w:sz w:val="20"/>
          <w:szCs w:val="20"/>
        </w:rPr>
        <w:t>, M. Sneha</w:t>
      </w:r>
      <w:r w:rsidR="001E616F" w:rsidRPr="00AB2D79">
        <w:rPr>
          <w:rFonts w:ascii="Times New Roman" w:hAnsi="Times New Roman" w:cs="Times New Roman"/>
          <w:b/>
          <w:bCs/>
          <w:sz w:val="20"/>
          <w:szCs w:val="20"/>
          <w:vertAlign w:val="superscript"/>
        </w:rPr>
        <w:t>2</w:t>
      </w:r>
      <w:r w:rsidR="001E616F" w:rsidRPr="00AB2D79">
        <w:rPr>
          <w:rFonts w:ascii="Times New Roman" w:hAnsi="Times New Roman" w:cs="Times New Roman"/>
          <w:b/>
          <w:bCs/>
          <w:sz w:val="20"/>
          <w:szCs w:val="20"/>
        </w:rPr>
        <w:t>, K. Neha Reddy</w:t>
      </w:r>
      <w:r w:rsidR="001E616F" w:rsidRPr="00AB2D79">
        <w:rPr>
          <w:rFonts w:ascii="Times New Roman" w:hAnsi="Times New Roman" w:cs="Times New Roman"/>
          <w:b/>
          <w:bCs/>
          <w:sz w:val="20"/>
          <w:szCs w:val="20"/>
          <w:vertAlign w:val="superscript"/>
        </w:rPr>
        <w:t>2</w:t>
      </w:r>
      <w:r w:rsidR="001E616F" w:rsidRPr="00AB2D79">
        <w:rPr>
          <w:rFonts w:ascii="Times New Roman" w:hAnsi="Times New Roman" w:cs="Times New Roman"/>
          <w:b/>
          <w:bCs/>
          <w:sz w:val="20"/>
          <w:szCs w:val="20"/>
        </w:rPr>
        <w:t>, N. Poojitha</w:t>
      </w:r>
      <w:r w:rsidR="001E616F" w:rsidRPr="00AB2D79">
        <w:rPr>
          <w:rFonts w:ascii="Times New Roman" w:hAnsi="Times New Roman" w:cs="Times New Roman"/>
          <w:b/>
          <w:bCs/>
          <w:sz w:val="20"/>
          <w:szCs w:val="20"/>
          <w:vertAlign w:val="superscript"/>
        </w:rPr>
        <w:t>2</w:t>
      </w:r>
      <w:r w:rsidR="001E616F" w:rsidRPr="00AB2D79">
        <w:rPr>
          <w:rFonts w:ascii="Times New Roman" w:hAnsi="Times New Roman" w:cs="Times New Roman"/>
          <w:b/>
          <w:bCs/>
          <w:sz w:val="20"/>
          <w:szCs w:val="20"/>
        </w:rPr>
        <w:t>, K. Gayathri</w:t>
      </w:r>
      <w:r w:rsidR="001E616F" w:rsidRPr="00AB2D79">
        <w:rPr>
          <w:rFonts w:ascii="Times New Roman" w:hAnsi="Times New Roman" w:cs="Times New Roman"/>
          <w:b/>
          <w:bCs/>
          <w:sz w:val="20"/>
          <w:szCs w:val="20"/>
          <w:vertAlign w:val="superscript"/>
        </w:rPr>
        <w:t>2</w:t>
      </w:r>
      <w:r w:rsidR="001E616F" w:rsidRPr="00AB2D79">
        <w:rPr>
          <w:rFonts w:ascii="Times New Roman" w:hAnsi="Times New Roman" w:cs="Times New Roman"/>
          <w:b/>
          <w:bCs/>
          <w:sz w:val="20"/>
          <w:szCs w:val="20"/>
        </w:rPr>
        <w:t>, and K.</w:t>
      </w:r>
      <w:r w:rsidR="0044679F" w:rsidRPr="00AB2D79">
        <w:rPr>
          <w:rFonts w:ascii="Times New Roman" w:hAnsi="Times New Roman" w:cs="Times New Roman"/>
          <w:b/>
          <w:bCs/>
          <w:sz w:val="20"/>
          <w:szCs w:val="20"/>
        </w:rPr>
        <w:t xml:space="preserve"> </w:t>
      </w:r>
      <w:r w:rsidR="001E616F" w:rsidRPr="00AB2D79">
        <w:rPr>
          <w:rFonts w:ascii="Times New Roman" w:hAnsi="Times New Roman" w:cs="Times New Roman"/>
          <w:b/>
          <w:bCs/>
          <w:sz w:val="20"/>
          <w:szCs w:val="20"/>
        </w:rPr>
        <w:t>Vedavathi</w:t>
      </w:r>
      <w:r w:rsidR="001E616F" w:rsidRPr="00AB2D79">
        <w:rPr>
          <w:rFonts w:ascii="Times New Roman" w:hAnsi="Times New Roman" w:cs="Times New Roman"/>
          <w:b/>
          <w:bCs/>
          <w:sz w:val="20"/>
          <w:szCs w:val="20"/>
          <w:vertAlign w:val="superscript"/>
        </w:rPr>
        <w:t>2</w:t>
      </w:r>
    </w:p>
    <w:p w14:paraId="43C2392C" w14:textId="77777777" w:rsidR="001E616F" w:rsidRPr="00FA7FF6" w:rsidRDefault="001E616F" w:rsidP="001E616F">
      <w:pPr>
        <w:spacing w:after="0"/>
        <w:jc w:val="center"/>
        <w:rPr>
          <w:rFonts w:ascii="Times New Roman" w:hAnsi="Times New Roman" w:cs="Times New Roman"/>
          <w:sz w:val="20"/>
          <w:szCs w:val="20"/>
        </w:rPr>
      </w:pPr>
      <w:r w:rsidRPr="00FA7FF6">
        <w:rPr>
          <w:rFonts w:ascii="Times New Roman" w:hAnsi="Times New Roman" w:cs="Times New Roman"/>
          <w:sz w:val="20"/>
          <w:szCs w:val="20"/>
        </w:rPr>
        <w:t>Associate Professor</w:t>
      </w:r>
      <w:r w:rsidRPr="00FA7FF6">
        <w:rPr>
          <w:rFonts w:ascii="Times New Roman" w:hAnsi="Times New Roman" w:cs="Times New Roman"/>
          <w:sz w:val="20"/>
          <w:szCs w:val="20"/>
          <w:vertAlign w:val="superscript"/>
        </w:rPr>
        <w:t>1</w:t>
      </w:r>
      <w:r w:rsidRPr="00FA7FF6">
        <w:rPr>
          <w:rFonts w:ascii="Times New Roman" w:hAnsi="Times New Roman" w:cs="Times New Roman"/>
          <w:sz w:val="20"/>
          <w:szCs w:val="20"/>
        </w:rPr>
        <w:t xml:space="preserve"> and U. G. Student</w:t>
      </w:r>
      <w:r w:rsidRPr="00FA7FF6">
        <w:rPr>
          <w:rFonts w:ascii="Times New Roman" w:hAnsi="Times New Roman" w:cs="Times New Roman"/>
          <w:sz w:val="20"/>
          <w:szCs w:val="20"/>
          <w:vertAlign w:val="superscript"/>
        </w:rPr>
        <w:t>2</w:t>
      </w:r>
      <w:r w:rsidRPr="00FA7FF6">
        <w:rPr>
          <w:rFonts w:ascii="Times New Roman" w:hAnsi="Times New Roman" w:cs="Times New Roman"/>
          <w:sz w:val="20"/>
          <w:szCs w:val="20"/>
        </w:rPr>
        <w:t>, Department of Computer Science and Engineering, G Pullaiah College of Engineering and Technology, Pasupala, Nandikotur Road, Andhra Pradesh, India. 518452.</w:t>
      </w:r>
    </w:p>
    <w:p w14:paraId="640E4036" w14:textId="77777777" w:rsidR="00D02B49" w:rsidRPr="00FA7FF6" w:rsidRDefault="00D02B49" w:rsidP="00D02B49">
      <w:pPr>
        <w:spacing w:after="0"/>
        <w:jc w:val="center"/>
        <w:rPr>
          <w:rFonts w:ascii="Times New Roman" w:hAnsi="Times New Roman" w:cs="Times New Roman"/>
          <w:sz w:val="20"/>
          <w:szCs w:val="20"/>
        </w:rPr>
      </w:pPr>
      <w:r w:rsidRPr="00FA7FF6">
        <w:rPr>
          <w:rFonts w:ascii="Times New Roman" w:hAnsi="Times New Roman" w:cs="Times New Roman"/>
          <w:sz w:val="20"/>
          <w:szCs w:val="20"/>
        </w:rPr>
        <w:t xml:space="preserve">Corresponding author: </w:t>
      </w:r>
      <w:hyperlink r:id="rId5" w:history="1">
        <w:r w:rsidRPr="00FA7FF6">
          <w:rPr>
            <w:rStyle w:val="Hyperlink"/>
            <w:rFonts w:ascii="Times New Roman" w:hAnsi="Times New Roman" w:cs="Times New Roman"/>
            <w:sz w:val="20"/>
            <w:szCs w:val="20"/>
          </w:rPr>
          <w:t>mittamidiresearch@gmail.com</w:t>
        </w:r>
      </w:hyperlink>
    </w:p>
    <w:p w14:paraId="02FA090D" w14:textId="23359390" w:rsidR="000A70DB" w:rsidRPr="000A70DB" w:rsidRDefault="000A70DB" w:rsidP="000A70DB">
      <w:pPr>
        <w:spacing w:before="100" w:beforeAutospacing="1" w:after="100" w:afterAutospacing="1"/>
        <w:jc w:val="both"/>
        <w:rPr>
          <w:rFonts w:ascii="Times New Roman" w:eastAsia="Times New Roman" w:hAnsi="Times New Roman" w:cs="Times New Roman"/>
          <w:b/>
          <w:bCs/>
          <w:kern w:val="0"/>
          <w:sz w:val="24"/>
          <w:szCs w:val="24"/>
          <w:lang w:val="en-IN" w:eastAsia="en-IN"/>
          <w14:ligatures w14:val="none"/>
        </w:rPr>
      </w:pPr>
      <w:r w:rsidRPr="000A70DB">
        <w:rPr>
          <w:rFonts w:ascii="Times New Roman" w:eastAsia="Times New Roman" w:hAnsi="Times New Roman" w:cs="Times New Roman"/>
          <w:b/>
          <w:bCs/>
          <w:kern w:val="0"/>
          <w:sz w:val="24"/>
          <w:szCs w:val="24"/>
          <w:lang w:val="en-IN" w:eastAsia="en-IN"/>
          <w14:ligatures w14:val="none"/>
        </w:rPr>
        <w:t>Abstract</w:t>
      </w:r>
    </w:p>
    <w:p w14:paraId="4D274CD5" w14:textId="2FEAA5BC" w:rsidR="000A70DB" w:rsidRPr="000A70DB" w:rsidRDefault="000A70DB"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0A70DB">
        <w:rPr>
          <w:rFonts w:ascii="Times New Roman" w:eastAsia="Times New Roman" w:hAnsi="Times New Roman" w:cs="Times New Roman"/>
          <w:kern w:val="0"/>
          <w:sz w:val="24"/>
          <w:szCs w:val="24"/>
          <w:lang w:val="en-IN" w:eastAsia="en-IN"/>
          <w14:ligatures w14:val="none"/>
        </w:rPr>
        <w:t>Eye diseases are a leading cause of blindness and vision impairment worldwide, underscoring the need for timely and accurate diagnostics. Traditional diagnostic methods often rely on manual evaluations by ophthalmologists, which can be subjective, time-intensive, and prone to errors. Current approaches also fail to adequately address the simultaneous detection of multiple eye conditions. To bridge these gaps, this study presents a deep learning-based framework leveraging DenseNet121 for the concurrent detection of eye diseases, including diabetic retinopathy, glaucoma, and cataracts, using retinal fundus images.</w:t>
      </w:r>
      <w:r>
        <w:rPr>
          <w:rFonts w:ascii="Times New Roman" w:eastAsia="Times New Roman" w:hAnsi="Times New Roman" w:cs="Times New Roman"/>
          <w:kern w:val="0"/>
          <w:sz w:val="24"/>
          <w:szCs w:val="24"/>
          <w:lang w:val="en-IN" w:eastAsia="en-IN"/>
          <w14:ligatures w14:val="none"/>
        </w:rPr>
        <w:t xml:space="preserve"> </w:t>
      </w:r>
      <w:r w:rsidRPr="000A70DB">
        <w:rPr>
          <w:rFonts w:ascii="Times New Roman" w:eastAsia="Times New Roman" w:hAnsi="Times New Roman" w:cs="Times New Roman"/>
          <w:kern w:val="0"/>
          <w:sz w:val="24"/>
          <w:szCs w:val="24"/>
          <w:lang w:val="en-IN" w:eastAsia="en-IN"/>
          <w14:ligatures w14:val="none"/>
        </w:rPr>
        <w:t>The objectives of the study were to develop an automated, scalable system capable of accurately identifying multiple eye diseases and to streamline diagnostic workflows, especially in resource-constrained environments. The methodology involved training a multi-task convolutional neural network using a diverse dataset of over 50,000 retinal images sourced from multiple repositories. Image preprocessing techniques, including cropping, resizing, and augmentation, were employed to address data imbalances and optimize computational efficiency.</w:t>
      </w:r>
    </w:p>
    <w:p w14:paraId="603E1979" w14:textId="06D580C9" w:rsidR="000A70DB" w:rsidRPr="000A70DB" w:rsidRDefault="000A70DB"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0A70DB">
        <w:rPr>
          <w:rFonts w:ascii="Times New Roman" w:eastAsia="Times New Roman" w:hAnsi="Times New Roman" w:cs="Times New Roman"/>
          <w:kern w:val="0"/>
          <w:sz w:val="24"/>
          <w:szCs w:val="24"/>
          <w:lang w:val="en-IN" w:eastAsia="en-IN"/>
          <w14:ligatures w14:val="none"/>
        </w:rPr>
        <w:t>Key findings demonstrate that the proposed model achieved an average accuracy of 95%, with disease-specific detection rates of 94% for diabetic retinopathy and 96% for glaucoma. The system’s robustness across diverse patient demographics and its ability to process images at varying resolutions highlight its clinical adaptability. Furthermore, the integration of privacy-preserving measures ensures ethical deployment in real-world settings.</w:t>
      </w:r>
      <w:r>
        <w:rPr>
          <w:rFonts w:ascii="Times New Roman" w:eastAsia="Times New Roman" w:hAnsi="Times New Roman" w:cs="Times New Roman"/>
          <w:kern w:val="0"/>
          <w:sz w:val="24"/>
          <w:szCs w:val="24"/>
          <w:lang w:val="en-IN" w:eastAsia="en-IN"/>
          <w14:ligatures w14:val="none"/>
        </w:rPr>
        <w:t xml:space="preserve"> </w:t>
      </w:r>
      <w:r w:rsidRPr="000A70DB">
        <w:rPr>
          <w:rFonts w:ascii="Times New Roman" w:eastAsia="Times New Roman" w:hAnsi="Times New Roman" w:cs="Times New Roman"/>
          <w:kern w:val="0"/>
          <w:sz w:val="24"/>
          <w:szCs w:val="24"/>
          <w:lang w:val="en-IN" w:eastAsia="en-IN"/>
          <w14:ligatures w14:val="none"/>
        </w:rPr>
        <w:t>This study has significant implications for global ophthalmic care, offering a transformative tool for early detection and intervention, particularly in underserved regions. By automating diagnostics, it empowers semi-skilled technicians, enhances resource allocation, and paves the way for AI-driven advancements in healthcare.</w:t>
      </w:r>
    </w:p>
    <w:p w14:paraId="20694253" w14:textId="769C99F4" w:rsidR="000A70DB" w:rsidRDefault="000A70DB" w:rsidP="000A70DB">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0A70DB">
        <w:rPr>
          <w:rFonts w:ascii="Times New Roman" w:eastAsia="Times New Roman" w:hAnsi="Times New Roman" w:cs="Times New Roman"/>
          <w:b/>
          <w:bCs/>
          <w:kern w:val="0"/>
          <w:sz w:val="24"/>
          <w:szCs w:val="24"/>
          <w:lang w:val="en-IN" w:eastAsia="en-IN"/>
          <w14:ligatures w14:val="none"/>
        </w:rPr>
        <w:lastRenderedPageBreak/>
        <w:t>Keywords:</w:t>
      </w:r>
      <w:r w:rsidRPr="000A70DB">
        <w:rPr>
          <w:rFonts w:ascii="Times New Roman" w:eastAsia="Times New Roman" w:hAnsi="Times New Roman" w:cs="Times New Roman"/>
          <w:kern w:val="0"/>
          <w:sz w:val="24"/>
          <w:szCs w:val="24"/>
          <w:lang w:val="en-IN" w:eastAsia="en-IN"/>
          <w14:ligatures w14:val="none"/>
        </w:rPr>
        <w:t xml:space="preserve"> Deep Learning, Retinal Imaging, DenseNet121, Eye Disease Detection, Multi-Task Learning</w:t>
      </w:r>
      <w:r w:rsidR="00AB2D79">
        <w:rPr>
          <w:rFonts w:ascii="Times New Roman" w:eastAsia="Times New Roman" w:hAnsi="Times New Roman" w:cs="Times New Roman"/>
          <w:kern w:val="0"/>
          <w:sz w:val="24"/>
          <w:szCs w:val="24"/>
          <w:lang w:val="en-IN" w:eastAsia="en-IN"/>
          <w14:ligatures w14:val="none"/>
        </w:rPr>
        <w:t>.</w:t>
      </w:r>
    </w:p>
    <w:p w14:paraId="48CFD239" w14:textId="20706DE6" w:rsidR="000A70DB" w:rsidRDefault="00676E15" w:rsidP="000A70DB">
      <w:pPr>
        <w:spacing w:before="100" w:beforeAutospacing="1" w:after="100" w:afterAutospacing="1"/>
        <w:jc w:val="both"/>
        <w:rPr>
          <w:rFonts w:ascii="Times New Roman" w:eastAsia="Times New Roman" w:hAnsi="Times New Roman" w:cs="Times New Roman"/>
          <w:b/>
          <w:bCs/>
          <w:kern w:val="0"/>
          <w:sz w:val="24"/>
          <w:szCs w:val="24"/>
          <w:lang w:val="en-IN" w:eastAsia="en-IN"/>
          <w14:ligatures w14:val="none"/>
        </w:rPr>
      </w:pPr>
      <w:r w:rsidRPr="00676E15">
        <w:rPr>
          <w:rFonts w:ascii="Times New Roman" w:eastAsia="Times New Roman" w:hAnsi="Times New Roman" w:cs="Times New Roman"/>
          <w:b/>
          <w:bCs/>
          <w:kern w:val="0"/>
          <w:sz w:val="24"/>
          <w:szCs w:val="24"/>
          <w:lang w:val="en-IN" w:eastAsia="en-IN"/>
          <w14:ligatures w14:val="none"/>
        </w:rPr>
        <w:t>Introduction</w:t>
      </w:r>
    </w:p>
    <w:p w14:paraId="67134A18" w14:textId="33D487D5"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Vision impairment and blindness caused by eye diseases remain significant public health concerns worldwide. Conditions such as diabetic retinopathy, glaucoma, and cataracts contribute to a substantial proportion of visual disabilities, necessitating early and accurate diagnosis for effective intervention</w:t>
      </w:r>
      <w:r w:rsidR="00FA08D1">
        <w:rPr>
          <w:rFonts w:ascii="Times New Roman" w:eastAsia="Times New Roman" w:hAnsi="Times New Roman" w:cs="Times New Roman"/>
          <w:kern w:val="0"/>
          <w:sz w:val="24"/>
          <w:szCs w:val="24"/>
          <w:lang w:val="en-IN" w:eastAsia="en-IN"/>
          <w14:ligatures w14:val="none"/>
        </w:rPr>
        <w:t xml:space="preserve"> [14]</w:t>
      </w:r>
      <w:r w:rsidRPr="00676E15">
        <w:rPr>
          <w:rFonts w:ascii="Times New Roman" w:eastAsia="Times New Roman" w:hAnsi="Times New Roman" w:cs="Times New Roman"/>
          <w:kern w:val="0"/>
          <w:sz w:val="24"/>
          <w:szCs w:val="24"/>
          <w:lang w:val="en-IN" w:eastAsia="en-IN"/>
          <w14:ligatures w14:val="none"/>
        </w:rPr>
        <w:t>. Traditional diagnostic methods rely heavily on manual assessment by ophthalmologists, which is inherently subjective and time-consuming. This approach often leads to delayed diagnosis and inconsistent outcomes, especially in regions with a shortage of trained medical professionals. Furthermore, many conventional diagnostic models focus on the identification of a single disease at a time, failing to address the complex reality that multiple eye diseases can coexist in a patient</w:t>
      </w:r>
      <w:r w:rsidR="00FA08D1">
        <w:rPr>
          <w:rFonts w:ascii="Times New Roman" w:eastAsia="Times New Roman" w:hAnsi="Times New Roman" w:cs="Times New Roman"/>
          <w:kern w:val="0"/>
          <w:sz w:val="24"/>
          <w:szCs w:val="24"/>
          <w:lang w:val="en-IN" w:eastAsia="en-IN"/>
          <w14:ligatures w14:val="none"/>
        </w:rPr>
        <w:t xml:space="preserve"> [2]</w:t>
      </w:r>
      <w:r w:rsidRPr="00676E15">
        <w:rPr>
          <w:rFonts w:ascii="Times New Roman" w:eastAsia="Times New Roman" w:hAnsi="Times New Roman" w:cs="Times New Roman"/>
          <w:kern w:val="0"/>
          <w:sz w:val="24"/>
          <w:szCs w:val="24"/>
          <w:lang w:val="en-IN" w:eastAsia="en-IN"/>
          <w14:ligatures w14:val="none"/>
        </w:rPr>
        <w:t>. These limitations highlight the urgent need for an advanced, automated system capable of detecting multiple ocular conditions simultaneously. Recent advancements in artificial intelligence (AI) and deep learning have demonstrated immense potential in the field of medical imaging, particularly in ophthalmology. AI-powered diagnostic models have shown remarkable accuracy in detecting individual eye diseases, reducing dependency on human expertise while improving efficiency. However, despite these promising developments, existing AI-based solutions often target single disease classification, limiting their practical applicability in real-world clinical settings</w:t>
      </w:r>
      <w:r w:rsidR="00FA08D1">
        <w:rPr>
          <w:rFonts w:ascii="Times New Roman" w:eastAsia="Times New Roman" w:hAnsi="Times New Roman" w:cs="Times New Roman"/>
          <w:kern w:val="0"/>
          <w:sz w:val="24"/>
          <w:szCs w:val="24"/>
          <w:lang w:val="en-IN" w:eastAsia="en-IN"/>
          <w14:ligatures w14:val="none"/>
        </w:rPr>
        <w:t xml:space="preserve"> [7]</w:t>
      </w:r>
      <w:r w:rsidRPr="00676E15">
        <w:rPr>
          <w:rFonts w:ascii="Times New Roman" w:eastAsia="Times New Roman" w:hAnsi="Times New Roman" w:cs="Times New Roman"/>
          <w:kern w:val="0"/>
          <w:sz w:val="24"/>
          <w:szCs w:val="24"/>
          <w:lang w:val="en-IN" w:eastAsia="en-IN"/>
          <w14:ligatures w14:val="none"/>
        </w:rPr>
        <w:t>. The simultaneous detection of multiple eye diseases remains a challenging task due to overlapping clinical features, variations in image quality, and differences in disease progression. To address these challenges, this study proposes a novel AI-driven framework leveraging a deep convolutional neural network (CNN) based on DenseNet121 to enable multi-disease detection using retinal fundus images</w:t>
      </w:r>
      <w:r w:rsidR="00FA08D1">
        <w:rPr>
          <w:rFonts w:ascii="Times New Roman" w:eastAsia="Times New Roman" w:hAnsi="Times New Roman" w:cs="Times New Roman"/>
          <w:kern w:val="0"/>
          <w:sz w:val="24"/>
          <w:szCs w:val="24"/>
          <w:lang w:val="en-IN" w:eastAsia="en-IN"/>
          <w14:ligatures w14:val="none"/>
        </w:rPr>
        <w:t xml:space="preserve"> [13]</w:t>
      </w:r>
      <w:r w:rsidRPr="00676E15">
        <w:rPr>
          <w:rFonts w:ascii="Times New Roman" w:eastAsia="Times New Roman" w:hAnsi="Times New Roman" w:cs="Times New Roman"/>
          <w:kern w:val="0"/>
          <w:sz w:val="24"/>
          <w:szCs w:val="24"/>
          <w:lang w:val="en-IN" w:eastAsia="en-IN"/>
          <w14:ligatures w14:val="none"/>
        </w:rPr>
        <w:t>.</w:t>
      </w:r>
    </w:p>
    <w:p w14:paraId="643CFEF7" w14:textId="4F06521D"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The primary objective of this research is to develop an automated, scalable, and highly accurate system for detecting multiple eye diseases concurrently. The proposed framework is trained on a diverse dataset of over 50,000 retinal images sourced from multiple repositories, ensuring robustness across different patient demographics</w:t>
      </w:r>
      <w:r w:rsidR="00FA08D1">
        <w:rPr>
          <w:rFonts w:ascii="Times New Roman" w:eastAsia="Times New Roman" w:hAnsi="Times New Roman" w:cs="Times New Roman"/>
          <w:kern w:val="0"/>
          <w:sz w:val="24"/>
          <w:szCs w:val="24"/>
          <w:lang w:val="en-IN" w:eastAsia="en-IN"/>
          <w14:ligatures w14:val="none"/>
        </w:rPr>
        <w:t xml:space="preserve"> [10]</w:t>
      </w:r>
      <w:r w:rsidRPr="00676E15">
        <w:rPr>
          <w:rFonts w:ascii="Times New Roman" w:eastAsia="Times New Roman" w:hAnsi="Times New Roman" w:cs="Times New Roman"/>
          <w:kern w:val="0"/>
          <w:sz w:val="24"/>
          <w:szCs w:val="24"/>
          <w:lang w:val="en-IN" w:eastAsia="en-IN"/>
          <w14:ligatures w14:val="none"/>
        </w:rPr>
        <w:t xml:space="preserve">. To enhance model performance, extensive image preprocessing techniques, such as cropping, resizing, and augmentation, are employed to address class imbalances and improve computational efficiency. Unlike traditional diagnostic approaches, this AI-powered model aims to streamline the diagnostic workflow, reducing the </w:t>
      </w:r>
      <w:r w:rsidRPr="00676E15">
        <w:rPr>
          <w:rFonts w:ascii="Times New Roman" w:eastAsia="Times New Roman" w:hAnsi="Times New Roman" w:cs="Times New Roman"/>
          <w:kern w:val="0"/>
          <w:sz w:val="24"/>
          <w:szCs w:val="24"/>
          <w:lang w:val="en-IN" w:eastAsia="en-IN"/>
          <w14:ligatures w14:val="none"/>
        </w:rPr>
        <w:lastRenderedPageBreak/>
        <w:t>burden on ophthalmologists while enabling faster and more accurate disease identification. A key advantage of the proposed system is its adaptability to varying resolutions and image qualities, making it suitable for deployment in resource-constrained environments. This is particularly crucial for underdeveloped regions where access to specialized ophthalmic care is limited. The model’s high accuracy</w:t>
      </w:r>
      <w:r w:rsidR="00FA08D1">
        <w:rPr>
          <w:rFonts w:ascii="Times New Roman" w:eastAsia="Times New Roman" w:hAnsi="Times New Roman" w:cs="Times New Roman"/>
          <w:kern w:val="0"/>
          <w:sz w:val="24"/>
          <w:szCs w:val="24"/>
          <w:lang w:val="en-IN" w:eastAsia="en-IN"/>
          <w14:ligatures w14:val="none"/>
        </w:rPr>
        <w:t xml:space="preserve"> </w:t>
      </w:r>
      <w:r w:rsidRPr="00676E15">
        <w:rPr>
          <w:rFonts w:ascii="Times New Roman" w:eastAsia="Times New Roman" w:hAnsi="Times New Roman" w:cs="Times New Roman"/>
          <w:kern w:val="0"/>
          <w:sz w:val="24"/>
          <w:szCs w:val="24"/>
          <w:lang w:val="en-IN" w:eastAsia="en-IN"/>
          <w14:ligatures w14:val="none"/>
        </w:rPr>
        <w:t>achieving 95% overall and disease-specific detection rates of 94% for diabetic retinopathy and 96% for glaucoma demonstrates its effectiveness in real-world applications</w:t>
      </w:r>
      <w:r w:rsidR="00FA08D1">
        <w:rPr>
          <w:rFonts w:ascii="Times New Roman" w:eastAsia="Times New Roman" w:hAnsi="Times New Roman" w:cs="Times New Roman"/>
          <w:kern w:val="0"/>
          <w:sz w:val="24"/>
          <w:szCs w:val="24"/>
          <w:lang w:val="en-IN" w:eastAsia="en-IN"/>
          <w14:ligatures w14:val="none"/>
        </w:rPr>
        <w:t xml:space="preserve"> [12]</w:t>
      </w:r>
      <w:r w:rsidRPr="00676E15">
        <w:rPr>
          <w:rFonts w:ascii="Times New Roman" w:eastAsia="Times New Roman" w:hAnsi="Times New Roman" w:cs="Times New Roman"/>
          <w:kern w:val="0"/>
          <w:sz w:val="24"/>
          <w:szCs w:val="24"/>
          <w:lang w:val="en-IN" w:eastAsia="en-IN"/>
          <w14:ligatures w14:val="none"/>
        </w:rPr>
        <w:t>. Furthermore, privacy-preserving measures are integrated into the framework to ensure ethical deployment and data security, addressing concerns regarding patient confidentiality</w:t>
      </w:r>
      <w:r w:rsidR="00FA08D1">
        <w:rPr>
          <w:rFonts w:ascii="Times New Roman" w:eastAsia="Times New Roman" w:hAnsi="Times New Roman" w:cs="Times New Roman"/>
          <w:kern w:val="0"/>
          <w:sz w:val="24"/>
          <w:szCs w:val="24"/>
          <w:lang w:val="en-IN" w:eastAsia="en-IN"/>
          <w14:ligatures w14:val="none"/>
        </w:rPr>
        <w:t xml:space="preserve"> [11]</w:t>
      </w:r>
      <w:r w:rsidRPr="00676E15">
        <w:rPr>
          <w:rFonts w:ascii="Times New Roman" w:eastAsia="Times New Roman" w:hAnsi="Times New Roman" w:cs="Times New Roman"/>
          <w:kern w:val="0"/>
          <w:sz w:val="24"/>
          <w:szCs w:val="24"/>
          <w:lang w:val="en-IN" w:eastAsia="en-IN"/>
          <w14:ligatures w14:val="none"/>
        </w:rPr>
        <w:t>.</w:t>
      </w:r>
    </w:p>
    <w:p w14:paraId="3585047B" w14:textId="6D4FC4F7" w:rsid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The implications of this research extend beyond automated diagnostics; it paves the way for AI-driven advancements in ophthalmology, empowering semi-skilled healthcare workers with reliable diagnostic tools</w:t>
      </w:r>
      <w:r w:rsidR="00FA08D1">
        <w:rPr>
          <w:rFonts w:ascii="Times New Roman" w:eastAsia="Times New Roman" w:hAnsi="Times New Roman" w:cs="Times New Roman"/>
          <w:kern w:val="0"/>
          <w:sz w:val="24"/>
          <w:szCs w:val="24"/>
          <w:lang w:val="en-IN" w:eastAsia="en-IN"/>
          <w14:ligatures w14:val="none"/>
        </w:rPr>
        <w:t xml:space="preserve"> [15]</w:t>
      </w:r>
      <w:r w:rsidRPr="00676E15">
        <w:rPr>
          <w:rFonts w:ascii="Times New Roman" w:eastAsia="Times New Roman" w:hAnsi="Times New Roman" w:cs="Times New Roman"/>
          <w:kern w:val="0"/>
          <w:sz w:val="24"/>
          <w:szCs w:val="24"/>
          <w:lang w:val="en-IN" w:eastAsia="en-IN"/>
          <w14:ligatures w14:val="none"/>
        </w:rPr>
        <w:t>. By reducing reliance on highly trained ophthalmologists, the proposed system enhances accessibility and resource allocation, potentially transforming global eye care services. This study contributes to the growing body of AI applications in healthcare, reinforcing the role of deep learning as a powerful tool for improving medical diagnostics. With continued advancements and validation in clinical settings, AI-driven frameworks like this can revolutionize eye disease detection, fostering early intervention and reducing the global burden of visual impairment.</w:t>
      </w:r>
    </w:p>
    <w:p w14:paraId="61FAC2FE" w14:textId="277B7580"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Pr>
          <w:rFonts w:ascii="Times New Roman" w:eastAsia="Times New Roman" w:hAnsi="Times New Roman" w:cs="Times New Roman"/>
          <w:b/>
          <w:bCs/>
          <w:kern w:val="0"/>
          <w:sz w:val="24"/>
          <w:szCs w:val="24"/>
          <w:lang w:val="en-IN" w:eastAsia="en-IN"/>
          <w14:ligatures w14:val="none"/>
        </w:rPr>
        <w:t xml:space="preserve">Literature review: </w:t>
      </w:r>
      <w:r w:rsidRPr="00676E15">
        <w:rPr>
          <w:rFonts w:ascii="Times New Roman" w:eastAsia="Times New Roman" w:hAnsi="Times New Roman" w:cs="Times New Roman"/>
          <w:b/>
          <w:bCs/>
          <w:kern w:val="0"/>
          <w:sz w:val="24"/>
          <w:szCs w:val="24"/>
          <w:lang w:val="en-IN" w:eastAsia="en-IN"/>
          <w14:ligatures w14:val="none"/>
        </w:rPr>
        <w:t>Existing AI-Based Approaches for Eye Disease Detection</w:t>
      </w:r>
    </w:p>
    <w:p w14:paraId="6C1779D7" w14:textId="3A559008"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The integration of artificial intelligence in ophthalmology has significantly enhanced diagnostic capabilities, particularly for eye disease detection. Various AI-based models, predominantly convolutional neural networks (CNNs), have been developed to assist in identifying conditions such as diabetic retinopathy, glaucoma, and cataracts from retinal fundus images</w:t>
      </w:r>
      <w:r w:rsidR="00FA08D1">
        <w:rPr>
          <w:rFonts w:ascii="Times New Roman" w:eastAsia="Times New Roman" w:hAnsi="Times New Roman" w:cs="Times New Roman"/>
          <w:kern w:val="0"/>
          <w:sz w:val="24"/>
          <w:szCs w:val="24"/>
          <w:lang w:val="en-IN" w:eastAsia="en-IN"/>
          <w14:ligatures w14:val="none"/>
        </w:rPr>
        <w:t xml:space="preserve"> [1,2]. D</w:t>
      </w:r>
      <w:r w:rsidRPr="00676E15">
        <w:rPr>
          <w:rFonts w:ascii="Times New Roman" w:eastAsia="Times New Roman" w:hAnsi="Times New Roman" w:cs="Times New Roman"/>
          <w:kern w:val="0"/>
          <w:sz w:val="24"/>
          <w:szCs w:val="24"/>
          <w:lang w:val="en-IN" w:eastAsia="en-IN"/>
          <w14:ligatures w14:val="none"/>
        </w:rPr>
        <w:t xml:space="preserve">eep learning models such as VGG16, ResNet, and InceptionNet have demonstrated high accuracy in disease classification, enabling automated screening processes that reduce dependency on human expertise. Several studies have employed transfer learning techniques to fine-tune pre-trained models, leveraging large-scale retinal datasets to improve generalizability. Google’s DeepMind and other AI-driven initiatives have successfully implemented machine learning algorithms in clinical settings, enhancing the precision and efficiency of ophthalmic disease diagnosis. </w:t>
      </w:r>
      <w:r w:rsidRPr="00676E15">
        <w:rPr>
          <w:rFonts w:ascii="Times New Roman" w:eastAsia="Times New Roman" w:hAnsi="Times New Roman" w:cs="Times New Roman"/>
          <w:kern w:val="0"/>
          <w:sz w:val="24"/>
          <w:szCs w:val="24"/>
          <w:lang w:val="en-IN" w:eastAsia="en-IN"/>
          <w14:ligatures w14:val="none"/>
        </w:rPr>
        <w:lastRenderedPageBreak/>
        <w:t>Additionally, ensemble learning techniques have been explored to combine multiple models, aiming to improve robustness and reliability in classification tasks</w:t>
      </w:r>
      <w:r w:rsidR="00FA08D1">
        <w:rPr>
          <w:rFonts w:ascii="Times New Roman" w:eastAsia="Times New Roman" w:hAnsi="Times New Roman" w:cs="Times New Roman"/>
          <w:kern w:val="0"/>
          <w:sz w:val="24"/>
          <w:szCs w:val="24"/>
          <w:lang w:val="en-IN" w:eastAsia="en-IN"/>
          <w14:ligatures w14:val="none"/>
        </w:rPr>
        <w:t xml:space="preserve"> [6]</w:t>
      </w:r>
      <w:r w:rsidRPr="00676E15">
        <w:rPr>
          <w:rFonts w:ascii="Times New Roman" w:eastAsia="Times New Roman" w:hAnsi="Times New Roman" w:cs="Times New Roman"/>
          <w:kern w:val="0"/>
          <w:sz w:val="24"/>
          <w:szCs w:val="24"/>
          <w:lang w:val="en-IN" w:eastAsia="en-IN"/>
          <w14:ligatures w14:val="none"/>
        </w:rPr>
        <w:t>. Despite these advancements, most existing AI models focus on detecting a single disease at a time, limiting their applicability in real-world clinical environments where multiple conditions may coexist.</w:t>
      </w:r>
    </w:p>
    <w:p w14:paraId="278284F0" w14:textId="77777777"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676E15">
        <w:rPr>
          <w:rFonts w:ascii="Times New Roman" w:eastAsia="Times New Roman" w:hAnsi="Times New Roman" w:cs="Times New Roman"/>
          <w:b/>
          <w:bCs/>
          <w:kern w:val="0"/>
          <w:sz w:val="24"/>
          <w:szCs w:val="24"/>
          <w:lang w:val="en-IN" w:eastAsia="en-IN"/>
          <w14:ligatures w14:val="none"/>
        </w:rPr>
        <w:t>Limitations of Current Techniques</w:t>
      </w:r>
    </w:p>
    <w:p w14:paraId="5532B2F8" w14:textId="3FFD40AF"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While AI-based solutions have demonstrated substantial progress in ophthalmic disease detection, several challenges remain. One major limitation is the lack of multi-disease detection capabilities in most existing models</w:t>
      </w:r>
      <w:r w:rsidR="00FA08D1">
        <w:rPr>
          <w:rFonts w:ascii="Times New Roman" w:eastAsia="Times New Roman" w:hAnsi="Times New Roman" w:cs="Times New Roman"/>
          <w:kern w:val="0"/>
          <w:sz w:val="24"/>
          <w:szCs w:val="24"/>
          <w:lang w:val="en-IN" w:eastAsia="en-IN"/>
          <w14:ligatures w14:val="none"/>
        </w:rPr>
        <w:t xml:space="preserve"> [8]</w:t>
      </w:r>
      <w:r w:rsidRPr="00676E15">
        <w:rPr>
          <w:rFonts w:ascii="Times New Roman" w:eastAsia="Times New Roman" w:hAnsi="Times New Roman" w:cs="Times New Roman"/>
          <w:kern w:val="0"/>
          <w:sz w:val="24"/>
          <w:szCs w:val="24"/>
          <w:lang w:val="en-IN" w:eastAsia="en-IN"/>
          <w14:ligatures w14:val="none"/>
        </w:rPr>
        <w:t>. Traditional deep learning approaches often require separate models for each condition, leading to inefficiencies in real-world applications where patients may present with overlapping symptoms of multiple diseases. Additionally, the performance of AI models is heavily dependent on the quality and diversity of training data. Many publicly available retinal image datasets suffer from class imbalances, where some diseases are overrepresented while others are underrepresented, affecting the model’s ability to generalize across different patient populations</w:t>
      </w:r>
      <w:r w:rsidR="00FA08D1">
        <w:rPr>
          <w:rFonts w:ascii="Times New Roman" w:eastAsia="Times New Roman" w:hAnsi="Times New Roman" w:cs="Times New Roman"/>
          <w:kern w:val="0"/>
          <w:sz w:val="24"/>
          <w:szCs w:val="24"/>
          <w:lang w:val="en-IN" w:eastAsia="en-IN"/>
          <w14:ligatures w14:val="none"/>
        </w:rPr>
        <w:t xml:space="preserve"> [4]</w:t>
      </w:r>
      <w:r w:rsidRPr="00676E15">
        <w:rPr>
          <w:rFonts w:ascii="Times New Roman" w:eastAsia="Times New Roman" w:hAnsi="Times New Roman" w:cs="Times New Roman"/>
          <w:kern w:val="0"/>
          <w:sz w:val="24"/>
          <w:szCs w:val="24"/>
          <w:lang w:val="en-IN" w:eastAsia="en-IN"/>
          <w14:ligatures w14:val="none"/>
        </w:rPr>
        <w:t>. Another challenge is the variability in image acquisition conditions, such as differences in illumination, resolution, and contrast, which can impact model performance. Furthermore, explainability and interpretability remain significant concerns in AI-driven ophthalmology, as deep learning models function as "black boxes," making it difficult for clinicians to understand the decision-making process</w:t>
      </w:r>
      <w:r w:rsidR="00FA08D1">
        <w:rPr>
          <w:rFonts w:ascii="Times New Roman" w:eastAsia="Times New Roman" w:hAnsi="Times New Roman" w:cs="Times New Roman"/>
          <w:kern w:val="0"/>
          <w:sz w:val="24"/>
          <w:szCs w:val="24"/>
          <w:lang w:val="en-IN" w:eastAsia="en-IN"/>
          <w14:ligatures w14:val="none"/>
        </w:rPr>
        <w:t xml:space="preserve"> [5]</w:t>
      </w:r>
      <w:r w:rsidRPr="00676E15">
        <w:rPr>
          <w:rFonts w:ascii="Times New Roman" w:eastAsia="Times New Roman" w:hAnsi="Times New Roman" w:cs="Times New Roman"/>
          <w:kern w:val="0"/>
          <w:sz w:val="24"/>
          <w:szCs w:val="24"/>
          <w:lang w:val="en-IN" w:eastAsia="en-IN"/>
          <w14:ligatures w14:val="none"/>
        </w:rPr>
        <w:t>. Ethical considerations, including data privacy and regulatory compliance, also pose barriers to widespread adoption in healthcare settings.</w:t>
      </w:r>
    </w:p>
    <w:p w14:paraId="0916BAB9" w14:textId="77777777" w:rsidR="00676E15" w:rsidRPr="00676E15" w:rsidRDefault="00676E15" w:rsidP="00676E15">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676E15">
        <w:rPr>
          <w:rFonts w:ascii="Times New Roman" w:eastAsia="Times New Roman" w:hAnsi="Times New Roman" w:cs="Times New Roman"/>
          <w:b/>
          <w:bCs/>
          <w:kern w:val="0"/>
          <w:sz w:val="24"/>
          <w:szCs w:val="24"/>
          <w:lang w:val="en-IN" w:eastAsia="en-IN"/>
          <w14:ligatures w14:val="none"/>
        </w:rPr>
        <w:t>Advancements in Deep Learning for Medical Imaging</w:t>
      </w:r>
    </w:p>
    <w:p w14:paraId="704E67AB" w14:textId="7C130209" w:rsidR="00676E15" w:rsidRDefault="00676E15" w:rsidP="00676E15">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676E15">
        <w:rPr>
          <w:rFonts w:ascii="Times New Roman" w:eastAsia="Times New Roman" w:hAnsi="Times New Roman" w:cs="Times New Roman"/>
          <w:kern w:val="0"/>
          <w:sz w:val="24"/>
          <w:szCs w:val="24"/>
          <w:lang w:val="en-IN" w:eastAsia="en-IN"/>
          <w14:ligatures w14:val="none"/>
        </w:rPr>
        <w:t>Recent advancements in deep learning have addressed several of the limitations associated with traditional AI-based eye disease detection models. The introduction of multi-task learning frameworks has enabled the simultaneous classification of multiple eye diseases using a single model, significantly improving diagnostic efficiency</w:t>
      </w:r>
      <w:r w:rsidR="00FA08D1">
        <w:rPr>
          <w:rFonts w:ascii="Times New Roman" w:eastAsia="Times New Roman" w:hAnsi="Times New Roman" w:cs="Times New Roman"/>
          <w:kern w:val="0"/>
          <w:sz w:val="24"/>
          <w:szCs w:val="24"/>
          <w:lang w:val="en-IN" w:eastAsia="en-IN"/>
          <w14:ligatures w14:val="none"/>
        </w:rPr>
        <w:t xml:space="preserve"> [7]</w:t>
      </w:r>
      <w:r w:rsidRPr="00676E15">
        <w:rPr>
          <w:rFonts w:ascii="Times New Roman" w:eastAsia="Times New Roman" w:hAnsi="Times New Roman" w:cs="Times New Roman"/>
          <w:kern w:val="0"/>
          <w:sz w:val="24"/>
          <w:szCs w:val="24"/>
          <w:lang w:val="en-IN" w:eastAsia="en-IN"/>
          <w14:ligatures w14:val="none"/>
        </w:rPr>
        <w:t xml:space="preserve">. Modern architectures such as DenseNet, EfficientNet, and transformer-based vision models have shown superior feature extraction capabilities, enhancing detection accuracy across diverse datasets. Attention mechanisms and explainable AI (XAI) techniques are increasingly being integrated into deep learning models to </w:t>
      </w:r>
      <w:r w:rsidRPr="00676E15">
        <w:rPr>
          <w:rFonts w:ascii="Times New Roman" w:eastAsia="Times New Roman" w:hAnsi="Times New Roman" w:cs="Times New Roman"/>
          <w:kern w:val="0"/>
          <w:sz w:val="24"/>
          <w:szCs w:val="24"/>
          <w:lang w:val="en-IN" w:eastAsia="en-IN"/>
          <w14:ligatures w14:val="none"/>
        </w:rPr>
        <w:lastRenderedPageBreak/>
        <w:t>improve interpretability, allowing clinicians to visualize the regions of interest that contribute to model predictions. Generative adversarial networks (GANs) and synthetic data augmentation methods have also been employed to address data scarcity and class imbalances, ensuring better generalization of AI models</w:t>
      </w:r>
      <w:r w:rsidR="00FA08D1">
        <w:rPr>
          <w:rFonts w:ascii="Times New Roman" w:eastAsia="Times New Roman" w:hAnsi="Times New Roman" w:cs="Times New Roman"/>
          <w:kern w:val="0"/>
          <w:sz w:val="24"/>
          <w:szCs w:val="24"/>
          <w:lang w:val="en-IN" w:eastAsia="en-IN"/>
          <w14:ligatures w14:val="none"/>
        </w:rPr>
        <w:t xml:space="preserve"> [6]</w:t>
      </w:r>
      <w:r w:rsidRPr="00676E15">
        <w:rPr>
          <w:rFonts w:ascii="Times New Roman" w:eastAsia="Times New Roman" w:hAnsi="Times New Roman" w:cs="Times New Roman"/>
          <w:kern w:val="0"/>
          <w:sz w:val="24"/>
          <w:szCs w:val="24"/>
          <w:lang w:val="en-IN" w:eastAsia="en-IN"/>
          <w14:ligatures w14:val="none"/>
        </w:rPr>
        <w:t>. Furthermore, federated learning approaches have emerged as a promising solution to privacy concerns by enabling decentralized model training without sharing sensitive patient data. These advancements collectively enhance the reliability, scalability, and clinical applicability of AI-driven ophthalmic diagnostics, paving the way for widespread deployment in telemedicine and resource-limited healthcare settings</w:t>
      </w:r>
      <w:r w:rsidR="00FA08D1">
        <w:rPr>
          <w:rFonts w:ascii="Times New Roman" w:eastAsia="Times New Roman" w:hAnsi="Times New Roman" w:cs="Times New Roman"/>
          <w:kern w:val="0"/>
          <w:sz w:val="24"/>
          <w:szCs w:val="24"/>
          <w:lang w:val="en-IN" w:eastAsia="en-IN"/>
          <w14:ligatures w14:val="none"/>
        </w:rPr>
        <w:t xml:space="preserve"> [8]</w:t>
      </w:r>
      <w:r w:rsidRPr="00676E15">
        <w:rPr>
          <w:rFonts w:ascii="Times New Roman" w:eastAsia="Times New Roman" w:hAnsi="Times New Roman" w:cs="Times New Roman"/>
          <w:kern w:val="0"/>
          <w:sz w:val="24"/>
          <w:szCs w:val="24"/>
          <w:lang w:val="en-IN" w:eastAsia="en-IN"/>
          <w14:ligatures w14:val="none"/>
        </w:rPr>
        <w:t>.</w:t>
      </w:r>
    </w:p>
    <w:p w14:paraId="49CD3589" w14:textId="46C33C90" w:rsidR="008A4AFF" w:rsidRPr="008A4AFF" w:rsidRDefault="008A4AFF" w:rsidP="00676E15">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8A4AFF">
        <w:rPr>
          <w:rFonts w:ascii="Times New Roman" w:eastAsia="Times New Roman" w:hAnsi="Times New Roman" w:cs="Times New Roman"/>
          <w:b/>
          <w:bCs/>
          <w:kern w:val="0"/>
          <w:sz w:val="24"/>
          <w:szCs w:val="24"/>
          <w:lang w:val="en-IN" w:eastAsia="en-IN"/>
          <w14:ligatures w14:val="none"/>
        </w:rPr>
        <w:t>Methodology</w:t>
      </w:r>
    </w:p>
    <w:p w14:paraId="23EB6CB6" w14:textId="4EE2F46C" w:rsidR="008A4AFF" w:rsidRPr="008A4AFF" w:rsidRDefault="008A4AFF" w:rsidP="008A4AF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8A4AFF">
        <w:rPr>
          <w:rFonts w:ascii="Times New Roman" w:eastAsia="Times New Roman" w:hAnsi="Times New Roman" w:cs="Times New Roman"/>
          <w:kern w:val="0"/>
          <w:sz w:val="24"/>
          <w:szCs w:val="24"/>
          <w:lang w:val="en-IN" w:eastAsia="en-IN"/>
          <w14:ligatures w14:val="none"/>
        </w:rPr>
        <w:t>The dataset utilized for this study comprises 50,000 retinal fundus images, collected from publicly available sources, including Kaggle’s APTOS dataset, EyePACS, and the Messidor-2 dataset. These images represent three major eye diseases—diabetic retinopathy (20,000 images), glaucoma (15,000 images), and cataracts (15,000 images)—ensuring a well-distributed dataset for model training. The dataset was split into training (70%), validation (15%), and testing (15%) subsets to facilitate reliable evaluation. Given the variations in image resolution, brightness, and contrast, essential image preprocessing techniques were applied to standardize the dataset and enhance model performance. All images were resized to 224×224 pixels for uniformity, while cropping and cantering methods were employed to remove irrelevant background noise. To improve model generalization, data normalization was performed by scaling pixel intensity values between 0 and 1. Additionally, data augmentation techniques, including rotation (±15°), flipping, brightness adjustments, and Gaussian noise, were implemented to mitigate class imbalances and improve the robustness of the model</w:t>
      </w:r>
      <w:r w:rsidR="00FA08D1">
        <w:rPr>
          <w:rFonts w:ascii="Times New Roman" w:eastAsia="Times New Roman" w:hAnsi="Times New Roman" w:cs="Times New Roman"/>
          <w:kern w:val="0"/>
          <w:sz w:val="24"/>
          <w:szCs w:val="24"/>
          <w:lang w:val="en-IN" w:eastAsia="en-IN"/>
          <w14:ligatures w14:val="none"/>
        </w:rPr>
        <w:t xml:space="preserve"> [9]</w:t>
      </w:r>
      <w:r w:rsidRPr="008A4AFF">
        <w:rPr>
          <w:rFonts w:ascii="Times New Roman" w:eastAsia="Times New Roman" w:hAnsi="Times New Roman" w:cs="Times New Roman"/>
          <w:kern w:val="0"/>
          <w:sz w:val="24"/>
          <w:szCs w:val="24"/>
          <w:lang w:val="en-IN" w:eastAsia="en-IN"/>
          <w14:ligatures w14:val="none"/>
        </w:rPr>
        <w:t>.</w:t>
      </w:r>
    </w:p>
    <w:p w14:paraId="00AE1D50" w14:textId="5BD038FD" w:rsidR="008A4AFF" w:rsidRPr="008A4AFF" w:rsidRDefault="008A4AFF" w:rsidP="008A4AF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8A4AFF">
        <w:rPr>
          <w:rFonts w:ascii="Times New Roman" w:eastAsia="Times New Roman" w:hAnsi="Times New Roman" w:cs="Times New Roman"/>
          <w:kern w:val="0"/>
          <w:sz w:val="24"/>
          <w:szCs w:val="24"/>
          <w:lang w:val="en-IN" w:eastAsia="en-IN"/>
          <w14:ligatures w14:val="none"/>
        </w:rPr>
        <w:t xml:space="preserve">For this study, DenseNet121 was selected as the base architecture due to its ability to efficiently propagate features through dense connections, reducing computational redundancy. The model consists of 121 convolutional layers organized into dense blocks, enabling deeper feature extraction while maintaining computational efficiency. The architecture is designed to maximize feature reuse, ensuring optimal representation of intricate retinal patterns for multi-disease detection. The model includes global average pooling (GAP) to reduce dimensionality and a fully connected layer with softmax activation, allowing classification across multiple diseases. Transfer </w:t>
      </w:r>
      <w:r w:rsidRPr="008A4AFF">
        <w:rPr>
          <w:rFonts w:ascii="Times New Roman" w:eastAsia="Times New Roman" w:hAnsi="Times New Roman" w:cs="Times New Roman"/>
          <w:kern w:val="0"/>
          <w:sz w:val="24"/>
          <w:szCs w:val="24"/>
          <w:lang w:val="en-IN" w:eastAsia="en-IN"/>
          <w14:ligatures w14:val="none"/>
        </w:rPr>
        <w:lastRenderedPageBreak/>
        <w:t>learning was applied using pre-trained ImageNet weights, accelerating convergence and improving generalization on medical imaging tasks</w:t>
      </w:r>
      <w:r w:rsidR="00FA08D1">
        <w:rPr>
          <w:rFonts w:ascii="Times New Roman" w:eastAsia="Times New Roman" w:hAnsi="Times New Roman" w:cs="Times New Roman"/>
          <w:kern w:val="0"/>
          <w:sz w:val="24"/>
          <w:szCs w:val="24"/>
          <w:lang w:val="en-IN" w:eastAsia="en-IN"/>
          <w14:ligatures w14:val="none"/>
        </w:rPr>
        <w:t xml:space="preserve"> [4]</w:t>
      </w:r>
      <w:r w:rsidRPr="008A4AFF">
        <w:rPr>
          <w:rFonts w:ascii="Times New Roman" w:eastAsia="Times New Roman" w:hAnsi="Times New Roman" w:cs="Times New Roman"/>
          <w:kern w:val="0"/>
          <w:sz w:val="24"/>
          <w:szCs w:val="24"/>
          <w:lang w:val="en-IN" w:eastAsia="en-IN"/>
          <w14:ligatures w14:val="none"/>
        </w:rPr>
        <w:t>.</w:t>
      </w:r>
    </w:p>
    <w:p w14:paraId="073A15F8" w14:textId="15C70594" w:rsidR="008A4AFF" w:rsidRDefault="008A4AFF" w:rsidP="008A4AF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8A4AFF">
        <w:rPr>
          <w:rFonts w:ascii="Times New Roman" w:eastAsia="Times New Roman" w:hAnsi="Times New Roman" w:cs="Times New Roman"/>
          <w:kern w:val="0"/>
          <w:sz w:val="24"/>
          <w:szCs w:val="24"/>
          <w:lang w:val="en-IN" w:eastAsia="en-IN"/>
          <w14:ligatures w14:val="none"/>
        </w:rPr>
        <w:t xml:space="preserve">The model was trained using batch size </w:t>
      </w:r>
      <w:r>
        <w:rPr>
          <w:rFonts w:ascii="Times New Roman" w:eastAsia="Times New Roman" w:hAnsi="Times New Roman" w:cs="Times New Roman"/>
          <w:kern w:val="0"/>
          <w:sz w:val="24"/>
          <w:szCs w:val="24"/>
          <w:lang w:val="en-IN" w:eastAsia="en-IN"/>
          <w14:ligatures w14:val="none"/>
        </w:rPr>
        <w:t xml:space="preserve">is </w:t>
      </w:r>
      <w:r w:rsidRPr="008A4AFF">
        <w:rPr>
          <w:rFonts w:ascii="Times New Roman" w:eastAsia="Times New Roman" w:hAnsi="Times New Roman" w:cs="Times New Roman"/>
          <w:kern w:val="0"/>
          <w:sz w:val="24"/>
          <w:szCs w:val="24"/>
          <w:lang w:val="en-IN" w:eastAsia="en-IN"/>
          <w14:ligatures w14:val="none"/>
        </w:rPr>
        <w:t>32, Adam optimizer with a learning rate of 0.0001, and categorical cross-entropy as the loss function to handle multi-class classification. The training process was executed over 50 epochs on an NVIDIA RTX 3090 GPU (24GB VRAM) to leverage high-speed computation. To evaluate model performance, multiple evaluation metrics were used, including accuracy, precision, recall, F1-score, and AUC-ROC curves. These metrics provide a comprehensive assessment of the model’s classification ability, ensuring its effectiveness for real-world clinical applications</w:t>
      </w:r>
      <w:r w:rsidR="00FA08D1">
        <w:rPr>
          <w:rFonts w:ascii="Times New Roman" w:eastAsia="Times New Roman" w:hAnsi="Times New Roman" w:cs="Times New Roman"/>
          <w:kern w:val="0"/>
          <w:sz w:val="24"/>
          <w:szCs w:val="24"/>
          <w:lang w:val="en-IN" w:eastAsia="en-IN"/>
          <w14:ligatures w14:val="none"/>
        </w:rPr>
        <w:t xml:space="preserve"> [3]</w:t>
      </w:r>
      <w:r w:rsidRPr="008A4AFF">
        <w:rPr>
          <w:rFonts w:ascii="Times New Roman" w:eastAsia="Times New Roman" w:hAnsi="Times New Roman" w:cs="Times New Roman"/>
          <w:kern w:val="0"/>
          <w:sz w:val="24"/>
          <w:szCs w:val="24"/>
          <w:lang w:val="en-IN" w:eastAsia="en-IN"/>
          <w14:ligatures w14:val="none"/>
        </w:rPr>
        <w:t>.</w:t>
      </w:r>
    </w:p>
    <w:p w14:paraId="45E2FF72" w14:textId="3926BD2D" w:rsidR="00E0341E" w:rsidRPr="00E0341E" w:rsidRDefault="00E0341E" w:rsidP="00E0341E">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E0341E">
        <w:rPr>
          <w:rFonts w:ascii="Times New Roman" w:eastAsia="Times New Roman" w:hAnsi="Times New Roman" w:cs="Times New Roman"/>
          <w:b/>
          <w:bCs/>
          <w:kern w:val="0"/>
          <w:sz w:val="24"/>
          <w:szCs w:val="24"/>
          <w:lang w:val="en-IN" w:eastAsia="en-IN"/>
          <w14:ligatures w14:val="none"/>
        </w:rPr>
        <w:t>Results and discussion</w:t>
      </w:r>
      <w:r>
        <w:rPr>
          <w:rFonts w:ascii="Times New Roman" w:eastAsia="Times New Roman" w:hAnsi="Times New Roman" w:cs="Times New Roman"/>
          <w:b/>
          <w:bCs/>
          <w:kern w:val="0"/>
          <w:sz w:val="24"/>
          <w:szCs w:val="24"/>
          <w:lang w:val="en-IN" w:eastAsia="en-IN"/>
          <w14:ligatures w14:val="none"/>
        </w:rPr>
        <w:t xml:space="preserve">: </w:t>
      </w:r>
      <w:r w:rsidRPr="00E0341E">
        <w:rPr>
          <w:rFonts w:ascii="Times New Roman" w:eastAsia="Times New Roman" w:hAnsi="Times New Roman" w:cs="Times New Roman"/>
          <w:b/>
          <w:bCs/>
          <w:kern w:val="0"/>
          <w:sz w:val="24"/>
          <w:szCs w:val="24"/>
          <w:lang w:val="en-IN" w:eastAsia="en-IN"/>
          <w14:ligatures w14:val="none"/>
        </w:rPr>
        <w:t>Model Performance Analysis</w:t>
      </w:r>
    </w:p>
    <w:p w14:paraId="4F4979C4" w14:textId="306EA25D" w:rsidR="00E0341E" w:rsidRDefault="00E0341E" w:rsidP="00E0341E">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E0341E">
        <w:rPr>
          <w:rFonts w:ascii="Times New Roman" w:eastAsia="Times New Roman" w:hAnsi="Times New Roman" w:cs="Times New Roman"/>
          <w:kern w:val="0"/>
          <w:sz w:val="24"/>
          <w:szCs w:val="24"/>
          <w:lang w:val="en-IN" w:eastAsia="en-IN"/>
          <w14:ligatures w14:val="none"/>
        </w:rPr>
        <w:t>The proposed DenseNet121-based AI framework for simultaneous detection of multiple eye diseases was evaluated using a diverse dataset of 50,000 retinal fundus images. The model demonstrated exceptional classification accuracy across diabetic retinopathy (DR), glaucoma, and cataracts, aligning with the objectives stated in the abstract. The overall accuracy achieved was 95.2%, with disease-specific accuracy values of 94.2% for DR, 96.1% for glaucoma, and 95.5% for cataracts. These results validate the model’s ability to accurately detect multiple conditions in a single assessment, overcoming the limitations of traditional diagnostic methods.</w:t>
      </w:r>
    </w:p>
    <w:p w14:paraId="51ECEBB1" w14:textId="449BC36D" w:rsidR="00E0341E" w:rsidRPr="00B67D0E" w:rsidRDefault="00E0341E" w:rsidP="00E0341E">
      <w:pPr>
        <w:spacing w:before="100" w:beforeAutospacing="1" w:after="100" w:afterAutospacing="1" w:line="360" w:lineRule="auto"/>
        <w:jc w:val="center"/>
        <w:rPr>
          <w:rFonts w:ascii="Times New Roman" w:eastAsia="Times New Roman" w:hAnsi="Times New Roman" w:cs="Times New Roman"/>
          <w:b/>
          <w:bCs/>
          <w:kern w:val="0"/>
          <w:sz w:val="20"/>
          <w:szCs w:val="20"/>
          <w:lang w:val="en-IN" w:eastAsia="en-IN"/>
          <w14:ligatures w14:val="none"/>
        </w:rPr>
      </w:pPr>
      <w:r w:rsidRPr="00B67D0E">
        <w:rPr>
          <w:rFonts w:ascii="Times New Roman" w:eastAsia="Times New Roman" w:hAnsi="Times New Roman" w:cs="Times New Roman"/>
          <w:b/>
          <w:bCs/>
          <w:kern w:val="0"/>
          <w:sz w:val="20"/>
          <w:szCs w:val="20"/>
          <w:lang w:val="en-IN" w:eastAsia="en-IN"/>
          <w14:ligatures w14:val="none"/>
        </w:rPr>
        <w:t xml:space="preserve">Table 1: </w:t>
      </w:r>
      <w:r w:rsidR="00B67D0E" w:rsidRPr="00B67D0E">
        <w:rPr>
          <w:rFonts w:ascii="Times New Roman" w:eastAsia="Times New Roman" w:hAnsi="Times New Roman" w:cs="Times New Roman"/>
          <w:b/>
          <w:bCs/>
          <w:kern w:val="0"/>
          <w:sz w:val="20"/>
          <w:szCs w:val="20"/>
          <w:lang w:val="en-IN" w:eastAsia="en-IN"/>
          <w14:ligatures w14:val="none"/>
        </w:rPr>
        <w:t>Performance Metrics of the Proposed AI Model for Multi-Disease Detection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E0341E" w14:paraId="76EEF391" w14:textId="77777777" w:rsidTr="00E0341E">
        <w:trPr>
          <w:jc w:val="center"/>
        </w:trPr>
        <w:tc>
          <w:tcPr>
            <w:tcW w:w="1870" w:type="dxa"/>
            <w:tcBorders>
              <w:top w:val="single" w:sz="4" w:space="0" w:color="auto"/>
              <w:bottom w:val="single" w:sz="4" w:space="0" w:color="auto"/>
            </w:tcBorders>
            <w:vAlign w:val="center"/>
          </w:tcPr>
          <w:p w14:paraId="2389AF5B" w14:textId="1C82B71A"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b/>
                <w:bCs/>
                <w:color w:val="000000"/>
              </w:rPr>
              <w:t>Metric</w:t>
            </w:r>
          </w:p>
        </w:tc>
        <w:tc>
          <w:tcPr>
            <w:tcW w:w="1870" w:type="dxa"/>
            <w:tcBorders>
              <w:top w:val="single" w:sz="4" w:space="0" w:color="auto"/>
              <w:bottom w:val="single" w:sz="4" w:space="0" w:color="auto"/>
            </w:tcBorders>
            <w:vAlign w:val="center"/>
          </w:tcPr>
          <w:p w14:paraId="7418F79E" w14:textId="5DB7199D"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b/>
                <w:bCs/>
                <w:color w:val="000000"/>
              </w:rPr>
              <w:t>Diabetic Retinopathy (%)</w:t>
            </w:r>
          </w:p>
        </w:tc>
        <w:tc>
          <w:tcPr>
            <w:tcW w:w="1870" w:type="dxa"/>
            <w:tcBorders>
              <w:top w:val="single" w:sz="4" w:space="0" w:color="auto"/>
              <w:bottom w:val="single" w:sz="4" w:space="0" w:color="auto"/>
            </w:tcBorders>
            <w:vAlign w:val="center"/>
          </w:tcPr>
          <w:p w14:paraId="7CE06620" w14:textId="545E8C94"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b/>
                <w:bCs/>
                <w:color w:val="000000"/>
              </w:rPr>
              <w:t>Glaucoma (%)</w:t>
            </w:r>
          </w:p>
        </w:tc>
        <w:tc>
          <w:tcPr>
            <w:tcW w:w="1870" w:type="dxa"/>
            <w:tcBorders>
              <w:top w:val="single" w:sz="4" w:space="0" w:color="auto"/>
              <w:bottom w:val="single" w:sz="4" w:space="0" w:color="auto"/>
            </w:tcBorders>
            <w:vAlign w:val="center"/>
          </w:tcPr>
          <w:p w14:paraId="47BAD209" w14:textId="4A43DCDC"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b/>
                <w:bCs/>
                <w:color w:val="000000"/>
              </w:rPr>
              <w:t>Cataracts (%)</w:t>
            </w:r>
          </w:p>
        </w:tc>
        <w:tc>
          <w:tcPr>
            <w:tcW w:w="1870" w:type="dxa"/>
            <w:tcBorders>
              <w:top w:val="single" w:sz="4" w:space="0" w:color="auto"/>
              <w:bottom w:val="single" w:sz="4" w:space="0" w:color="auto"/>
            </w:tcBorders>
            <w:vAlign w:val="center"/>
          </w:tcPr>
          <w:p w14:paraId="65187936" w14:textId="287CCE9F"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b/>
                <w:bCs/>
                <w:color w:val="000000"/>
              </w:rPr>
              <w:t>Overall (%)</w:t>
            </w:r>
          </w:p>
        </w:tc>
      </w:tr>
      <w:tr w:rsidR="00E0341E" w14:paraId="0502ABF2" w14:textId="77777777" w:rsidTr="00E0341E">
        <w:trPr>
          <w:jc w:val="center"/>
        </w:trPr>
        <w:tc>
          <w:tcPr>
            <w:tcW w:w="1870" w:type="dxa"/>
            <w:tcBorders>
              <w:top w:val="single" w:sz="4" w:space="0" w:color="auto"/>
            </w:tcBorders>
            <w:vAlign w:val="center"/>
          </w:tcPr>
          <w:p w14:paraId="4802F18B" w14:textId="570F766A"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Accuracy</w:t>
            </w:r>
          </w:p>
        </w:tc>
        <w:tc>
          <w:tcPr>
            <w:tcW w:w="1870" w:type="dxa"/>
            <w:tcBorders>
              <w:top w:val="single" w:sz="4" w:space="0" w:color="auto"/>
            </w:tcBorders>
            <w:vAlign w:val="center"/>
          </w:tcPr>
          <w:p w14:paraId="33F942AE" w14:textId="073E9362"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94.2</w:t>
            </w:r>
          </w:p>
        </w:tc>
        <w:tc>
          <w:tcPr>
            <w:tcW w:w="1870" w:type="dxa"/>
            <w:tcBorders>
              <w:top w:val="single" w:sz="4" w:space="0" w:color="auto"/>
            </w:tcBorders>
            <w:vAlign w:val="center"/>
          </w:tcPr>
          <w:p w14:paraId="7C7FD73D" w14:textId="06A8C609"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96.1</w:t>
            </w:r>
          </w:p>
        </w:tc>
        <w:tc>
          <w:tcPr>
            <w:tcW w:w="1870" w:type="dxa"/>
            <w:tcBorders>
              <w:top w:val="single" w:sz="4" w:space="0" w:color="auto"/>
            </w:tcBorders>
            <w:vAlign w:val="center"/>
          </w:tcPr>
          <w:p w14:paraId="4F712AAF" w14:textId="13C1F9ED"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95.5</w:t>
            </w:r>
          </w:p>
        </w:tc>
        <w:tc>
          <w:tcPr>
            <w:tcW w:w="1870" w:type="dxa"/>
            <w:tcBorders>
              <w:top w:val="single" w:sz="4" w:space="0" w:color="auto"/>
            </w:tcBorders>
            <w:vAlign w:val="center"/>
          </w:tcPr>
          <w:p w14:paraId="437F483A" w14:textId="139DA47C"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95.2</w:t>
            </w:r>
          </w:p>
        </w:tc>
      </w:tr>
      <w:tr w:rsidR="00E0341E" w14:paraId="42F702A3" w14:textId="77777777" w:rsidTr="00E0341E">
        <w:trPr>
          <w:jc w:val="center"/>
        </w:trPr>
        <w:tc>
          <w:tcPr>
            <w:tcW w:w="1870" w:type="dxa"/>
            <w:vAlign w:val="center"/>
          </w:tcPr>
          <w:p w14:paraId="528B1258" w14:textId="21BBE30B"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Precision</w:t>
            </w:r>
          </w:p>
        </w:tc>
        <w:tc>
          <w:tcPr>
            <w:tcW w:w="1870" w:type="dxa"/>
            <w:vAlign w:val="center"/>
          </w:tcPr>
          <w:p w14:paraId="3C4B92FC" w14:textId="4001E71A"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92.8</w:t>
            </w:r>
          </w:p>
        </w:tc>
        <w:tc>
          <w:tcPr>
            <w:tcW w:w="1870" w:type="dxa"/>
            <w:vAlign w:val="center"/>
          </w:tcPr>
          <w:p w14:paraId="3A529F4B" w14:textId="240B9C93"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95.3</w:t>
            </w:r>
          </w:p>
        </w:tc>
        <w:tc>
          <w:tcPr>
            <w:tcW w:w="1870" w:type="dxa"/>
            <w:vAlign w:val="center"/>
          </w:tcPr>
          <w:p w14:paraId="0EB5E09B" w14:textId="6C827BDB"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94.1</w:t>
            </w:r>
          </w:p>
        </w:tc>
        <w:tc>
          <w:tcPr>
            <w:tcW w:w="1870" w:type="dxa"/>
            <w:vAlign w:val="center"/>
          </w:tcPr>
          <w:p w14:paraId="72766469" w14:textId="64D67332"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94</w:t>
            </w:r>
          </w:p>
        </w:tc>
      </w:tr>
      <w:tr w:rsidR="00E0341E" w14:paraId="4FECDE6F" w14:textId="77777777" w:rsidTr="00E0341E">
        <w:trPr>
          <w:jc w:val="center"/>
        </w:trPr>
        <w:tc>
          <w:tcPr>
            <w:tcW w:w="1870" w:type="dxa"/>
            <w:vAlign w:val="center"/>
          </w:tcPr>
          <w:p w14:paraId="192CEFAC" w14:textId="120E4213"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Recall</w:t>
            </w:r>
          </w:p>
        </w:tc>
        <w:tc>
          <w:tcPr>
            <w:tcW w:w="1870" w:type="dxa"/>
            <w:vAlign w:val="center"/>
          </w:tcPr>
          <w:p w14:paraId="6BF365C2" w14:textId="48097E83"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94.5</w:t>
            </w:r>
          </w:p>
        </w:tc>
        <w:tc>
          <w:tcPr>
            <w:tcW w:w="1870" w:type="dxa"/>
            <w:vAlign w:val="center"/>
          </w:tcPr>
          <w:p w14:paraId="7393C03B" w14:textId="2F47367E"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96.7</w:t>
            </w:r>
          </w:p>
        </w:tc>
        <w:tc>
          <w:tcPr>
            <w:tcW w:w="1870" w:type="dxa"/>
            <w:vAlign w:val="center"/>
          </w:tcPr>
          <w:p w14:paraId="064281E9" w14:textId="5A023D83"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95.9</w:t>
            </w:r>
          </w:p>
        </w:tc>
        <w:tc>
          <w:tcPr>
            <w:tcW w:w="1870" w:type="dxa"/>
            <w:vAlign w:val="center"/>
          </w:tcPr>
          <w:p w14:paraId="407E7F77" w14:textId="22FEBE35"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95.7</w:t>
            </w:r>
          </w:p>
        </w:tc>
      </w:tr>
      <w:tr w:rsidR="00E0341E" w14:paraId="345C057D" w14:textId="77777777" w:rsidTr="00E0341E">
        <w:trPr>
          <w:jc w:val="center"/>
        </w:trPr>
        <w:tc>
          <w:tcPr>
            <w:tcW w:w="1870" w:type="dxa"/>
            <w:vAlign w:val="center"/>
          </w:tcPr>
          <w:p w14:paraId="4D1E18DF" w14:textId="21D3B526"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F1-Score</w:t>
            </w:r>
          </w:p>
        </w:tc>
        <w:tc>
          <w:tcPr>
            <w:tcW w:w="1870" w:type="dxa"/>
            <w:vAlign w:val="center"/>
          </w:tcPr>
          <w:p w14:paraId="16AD06F8" w14:textId="51D927A1"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93.6</w:t>
            </w:r>
          </w:p>
        </w:tc>
        <w:tc>
          <w:tcPr>
            <w:tcW w:w="1870" w:type="dxa"/>
            <w:vAlign w:val="center"/>
          </w:tcPr>
          <w:p w14:paraId="06F11769" w14:textId="12D22781"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96</w:t>
            </w:r>
          </w:p>
        </w:tc>
        <w:tc>
          <w:tcPr>
            <w:tcW w:w="1870" w:type="dxa"/>
            <w:vAlign w:val="center"/>
          </w:tcPr>
          <w:p w14:paraId="6A1BDD46" w14:textId="23423570"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95</w:t>
            </w:r>
          </w:p>
        </w:tc>
        <w:tc>
          <w:tcPr>
            <w:tcW w:w="1870" w:type="dxa"/>
            <w:vAlign w:val="center"/>
          </w:tcPr>
          <w:p w14:paraId="4A04C73B" w14:textId="3E08DEA8" w:rsidR="00E0341E" w:rsidRPr="00E0341E" w:rsidRDefault="00E0341E" w:rsidP="00E0341E">
            <w:pPr>
              <w:spacing w:before="100" w:beforeAutospacing="1" w:after="100" w:afterAutospacing="1" w:line="360" w:lineRule="auto"/>
              <w:jc w:val="center"/>
              <w:rPr>
                <w:rFonts w:ascii="Times New Roman" w:eastAsia="Times New Roman" w:hAnsi="Times New Roman" w:cs="Times New Roman"/>
                <w:kern w:val="0"/>
                <w:sz w:val="20"/>
                <w:szCs w:val="20"/>
                <w:lang w:val="en-IN" w:eastAsia="en-IN"/>
                <w14:ligatures w14:val="none"/>
              </w:rPr>
            </w:pPr>
            <w:r w:rsidRPr="00E0341E">
              <w:rPr>
                <w:rFonts w:ascii="Times New Roman" w:hAnsi="Times New Roman" w:cs="Times New Roman"/>
                <w:color w:val="000000"/>
              </w:rPr>
              <w:t>94.8</w:t>
            </w:r>
          </w:p>
        </w:tc>
      </w:tr>
    </w:tbl>
    <w:p w14:paraId="6D6A1A2E" w14:textId="77777777" w:rsidR="00E0341E" w:rsidRDefault="00E0341E" w:rsidP="00E0341E">
      <w:pPr>
        <w:rPr>
          <w:rFonts w:ascii="Times New Roman" w:eastAsia="Times New Roman" w:hAnsi="Times New Roman" w:cs="Times New Roman"/>
          <w:kern w:val="0"/>
          <w:sz w:val="20"/>
          <w:szCs w:val="20"/>
          <w:lang w:val="en-IN" w:eastAsia="en-IN"/>
          <w14:ligatures w14:val="none"/>
        </w:rPr>
      </w:pPr>
    </w:p>
    <w:p w14:paraId="60B30164" w14:textId="4E494F0A" w:rsidR="00E0341E" w:rsidRDefault="00E0341E" w:rsidP="00E0341E">
      <w:pPr>
        <w:rPr>
          <w:rFonts w:ascii="Times New Roman" w:eastAsia="Times New Roman" w:hAnsi="Times New Roman" w:cs="Times New Roman"/>
          <w:kern w:val="0"/>
          <w:sz w:val="24"/>
          <w:szCs w:val="24"/>
          <w:lang w:val="en-IN" w:eastAsia="en-IN"/>
          <w14:ligatures w14:val="none"/>
        </w:rPr>
      </w:pPr>
      <w:r w:rsidRPr="00E0341E">
        <w:rPr>
          <w:rFonts w:ascii="Times New Roman" w:eastAsia="Times New Roman" w:hAnsi="Times New Roman" w:cs="Times New Roman"/>
          <w:kern w:val="0"/>
          <w:sz w:val="24"/>
          <w:szCs w:val="24"/>
          <w:lang w:val="en-IN" w:eastAsia="en-IN"/>
          <w14:ligatures w14:val="none"/>
        </w:rPr>
        <w:t>The F1-score of 94.8% confirms the model’s balance between precision and recall, indicating that false positives and false negatives are effectively minimized.</w:t>
      </w:r>
    </w:p>
    <w:p w14:paraId="07DAB9ED" w14:textId="77777777" w:rsidR="007F030F" w:rsidRDefault="007F030F" w:rsidP="00E0341E">
      <w:pPr>
        <w:rPr>
          <w:rFonts w:ascii="Times New Roman" w:eastAsia="Times New Roman" w:hAnsi="Times New Roman" w:cs="Times New Roman"/>
          <w:b/>
          <w:bCs/>
          <w:kern w:val="0"/>
          <w:sz w:val="24"/>
          <w:szCs w:val="24"/>
          <w:lang w:val="en-IN" w:eastAsia="en-IN"/>
          <w14:ligatures w14:val="none"/>
        </w:rPr>
      </w:pPr>
    </w:p>
    <w:p w14:paraId="51B0A319" w14:textId="77777777" w:rsidR="007F030F" w:rsidRDefault="007F030F" w:rsidP="00E0341E">
      <w:pPr>
        <w:rPr>
          <w:rFonts w:ascii="Times New Roman" w:eastAsia="Times New Roman" w:hAnsi="Times New Roman" w:cs="Times New Roman"/>
          <w:b/>
          <w:bCs/>
          <w:kern w:val="0"/>
          <w:sz w:val="24"/>
          <w:szCs w:val="24"/>
          <w:lang w:val="en-IN" w:eastAsia="en-IN"/>
          <w14:ligatures w14:val="none"/>
        </w:rPr>
      </w:pPr>
    </w:p>
    <w:p w14:paraId="10249E88" w14:textId="77777777" w:rsidR="007F030F" w:rsidRDefault="007F030F" w:rsidP="00E0341E">
      <w:pPr>
        <w:rPr>
          <w:rFonts w:ascii="Times New Roman" w:eastAsia="Times New Roman" w:hAnsi="Times New Roman" w:cs="Times New Roman"/>
          <w:b/>
          <w:bCs/>
          <w:kern w:val="0"/>
          <w:sz w:val="24"/>
          <w:szCs w:val="24"/>
          <w:lang w:val="en-IN" w:eastAsia="en-IN"/>
          <w14:ligatures w14:val="none"/>
        </w:rPr>
      </w:pPr>
    </w:p>
    <w:p w14:paraId="24880DCB" w14:textId="006DD22C" w:rsidR="007F030F" w:rsidRPr="007F030F" w:rsidRDefault="007F030F" w:rsidP="007F030F">
      <w:pPr>
        <w:jc w:val="both"/>
        <w:rPr>
          <w:rFonts w:ascii="Times New Roman" w:eastAsia="Times New Roman" w:hAnsi="Times New Roman" w:cs="Times New Roman"/>
          <w:b/>
          <w:bCs/>
          <w:kern w:val="0"/>
          <w:sz w:val="24"/>
          <w:szCs w:val="24"/>
          <w:lang w:val="en-IN" w:eastAsia="en-IN"/>
          <w14:ligatures w14:val="none"/>
        </w:rPr>
      </w:pPr>
      <w:r w:rsidRPr="007F030F">
        <w:rPr>
          <w:rFonts w:ascii="Times New Roman" w:eastAsia="Times New Roman" w:hAnsi="Times New Roman" w:cs="Times New Roman"/>
          <w:b/>
          <w:bCs/>
          <w:kern w:val="0"/>
          <w:sz w:val="24"/>
          <w:szCs w:val="24"/>
          <w:lang w:val="en-IN" w:eastAsia="en-IN"/>
          <w14:ligatures w14:val="none"/>
        </w:rPr>
        <w:t>Comparison with Existing Methods</w:t>
      </w:r>
    </w:p>
    <w:p w14:paraId="419AE2EB" w14:textId="79AAEE96" w:rsidR="00E0341E"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To assess the superiority of the proposed approach, its performance was compared with other state-of-the-art AI-based eye disease detection models. The comparison is based on accuracy and model efficiency.</w:t>
      </w:r>
    </w:p>
    <w:p w14:paraId="25FFF0D3" w14:textId="28E011FD" w:rsidR="00B67D0E" w:rsidRPr="00B67D0E" w:rsidRDefault="00B67D0E" w:rsidP="00B67D0E">
      <w:pPr>
        <w:spacing w:before="100" w:beforeAutospacing="1" w:after="100" w:afterAutospacing="1" w:line="360" w:lineRule="auto"/>
        <w:jc w:val="center"/>
        <w:rPr>
          <w:rFonts w:ascii="Times New Roman" w:eastAsia="Times New Roman" w:hAnsi="Times New Roman" w:cs="Times New Roman"/>
          <w:b/>
          <w:bCs/>
          <w:kern w:val="0"/>
          <w:sz w:val="20"/>
          <w:szCs w:val="20"/>
          <w:lang w:val="en-IN" w:eastAsia="en-IN"/>
          <w14:ligatures w14:val="none"/>
        </w:rPr>
      </w:pPr>
      <w:r w:rsidRPr="00B67D0E">
        <w:rPr>
          <w:rFonts w:ascii="Times New Roman" w:eastAsia="Times New Roman" w:hAnsi="Times New Roman" w:cs="Times New Roman"/>
          <w:b/>
          <w:bCs/>
          <w:kern w:val="0"/>
          <w:sz w:val="20"/>
          <w:szCs w:val="20"/>
          <w:lang w:val="en-IN" w:eastAsia="en-IN"/>
          <w14:ligatures w14:val="none"/>
        </w:rPr>
        <w:t>Table 2: Comparison of the Proposed Model with Existing AI-Based Methods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7F030F" w:rsidRPr="007F030F" w14:paraId="35A50D36" w14:textId="77777777" w:rsidTr="007F030F">
        <w:trPr>
          <w:jc w:val="center"/>
        </w:trPr>
        <w:tc>
          <w:tcPr>
            <w:tcW w:w="1870" w:type="dxa"/>
            <w:tcBorders>
              <w:top w:val="single" w:sz="4" w:space="0" w:color="auto"/>
              <w:bottom w:val="single" w:sz="4" w:space="0" w:color="auto"/>
            </w:tcBorders>
            <w:vAlign w:val="center"/>
          </w:tcPr>
          <w:p w14:paraId="338DAD59" w14:textId="60335E64"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Model</w:t>
            </w:r>
          </w:p>
        </w:tc>
        <w:tc>
          <w:tcPr>
            <w:tcW w:w="1870" w:type="dxa"/>
            <w:tcBorders>
              <w:top w:val="single" w:sz="4" w:space="0" w:color="auto"/>
              <w:bottom w:val="single" w:sz="4" w:space="0" w:color="auto"/>
            </w:tcBorders>
            <w:vAlign w:val="center"/>
          </w:tcPr>
          <w:p w14:paraId="5D3FFD1B" w14:textId="2DB90A8E"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Architecture</w:t>
            </w:r>
          </w:p>
        </w:tc>
        <w:tc>
          <w:tcPr>
            <w:tcW w:w="1870" w:type="dxa"/>
            <w:tcBorders>
              <w:top w:val="single" w:sz="4" w:space="0" w:color="auto"/>
              <w:bottom w:val="single" w:sz="4" w:space="0" w:color="auto"/>
            </w:tcBorders>
            <w:vAlign w:val="center"/>
          </w:tcPr>
          <w:p w14:paraId="7ADDE379" w14:textId="2ED6B677"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Dataset Size</w:t>
            </w:r>
          </w:p>
        </w:tc>
        <w:tc>
          <w:tcPr>
            <w:tcW w:w="1870" w:type="dxa"/>
            <w:tcBorders>
              <w:top w:val="single" w:sz="4" w:space="0" w:color="auto"/>
              <w:bottom w:val="single" w:sz="4" w:space="0" w:color="auto"/>
            </w:tcBorders>
            <w:vAlign w:val="center"/>
          </w:tcPr>
          <w:p w14:paraId="2D6CA407" w14:textId="7E22B4A4"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Diseases Detected</w:t>
            </w:r>
          </w:p>
        </w:tc>
        <w:tc>
          <w:tcPr>
            <w:tcW w:w="1870" w:type="dxa"/>
            <w:tcBorders>
              <w:top w:val="single" w:sz="4" w:space="0" w:color="auto"/>
              <w:bottom w:val="single" w:sz="4" w:space="0" w:color="auto"/>
            </w:tcBorders>
            <w:vAlign w:val="center"/>
          </w:tcPr>
          <w:p w14:paraId="3BDD58D1" w14:textId="1478E760"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Accuracy (%)</w:t>
            </w:r>
          </w:p>
        </w:tc>
      </w:tr>
      <w:tr w:rsidR="007F030F" w:rsidRPr="007F030F" w14:paraId="2370D7E6" w14:textId="77777777" w:rsidTr="007F030F">
        <w:trPr>
          <w:jc w:val="center"/>
        </w:trPr>
        <w:tc>
          <w:tcPr>
            <w:tcW w:w="1870" w:type="dxa"/>
            <w:tcBorders>
              <w:top w:val="single" w:sz="4" w:space="0" w:color="auto"/>
            </w:tcBorders>
            <w:vAlign w:val="center"/>
          </w:tcPr>
          <w:p w14:paraId="17F8AECE" w14:textId="7D5101A6"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VGG16</w:t>
            </w:r>
          </w:p>
        </w:tc>
        <w:tc>
          <w:tcPr>
            <w:tcW w:w="1870" w:type="dxa"/>
            <w:tcBorders>
              <w:top w:val="single" w:sz="4" w:space="0" w:color="auto"/>
            </w:tcBorders>
            <w:vAlign w:val="center"/>
          </w:tcPr>
          <w:p w14:paraId="3A56D4AD" w14:textId="27B92ADA"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CNN-Based</w:t>
            </w:r>
          </w:p>
        </w:tc>
        <w:tc>
          <w:tcPr>
            <w:tcW w:w="1870" w:type="dxa"/>
            <w:tcBorders>
              <w:top w:val="single" w:sz="4" w:space="0" w:color="auto"/>
            </w:tcBorders>
            <w:vAlign w:val="center"/>
          </w:tcPr>
          <w:p w14:paraId="3029C166" w14:textId="05ADB641"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20,000</w:t>
            </w:r>
          </w:p>
        </w:tc>
        <w:tc>
          <w:tcPr>
            <w:tcW w:w="1870" w:type="dxa"/>
            <w:tcBorders>
              <w:top w:val="single" w:sz="4" w:space="0" w:color="auto"/>
            </w:tcBorders>
            <w:vAlign w:val="center"/>
          </w:tcPr>
          <w:p w14:paraId="4CED23A5" w14:textId="743592E8"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Single</w:t>
            </w:r>
          </w:p>
        </w:tc>
        <w:tc>
          <w:tcPr>
            <w:tcW w:w="1870" w:type="dxa"/>
            <w:tcBorders>
              <w:top w:val="single" w:sz="4" w:space="0" w:color="auto"/>
            </w:tcBorders>
            <w:vAlign w:val="center"/>
          </w:tcPr>
          <w:p w14:paraId="407D569F" w14:textId="4651D06E"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87.5</w:t>
            </w:r>
          </w:p>
        </w:tc>
      </w:tr>
      <w:tr w:rsidR="007F030F" w:rsidRPr="007F030F" w14:paraId="0DF7C1AA" w14:textId="77777777" w:rsidTr="007F030F">
        <w:trPr>
          <w:jc w:val="center"/>
        </w:trPr>
        <w:tc>
          <w:tcPr>
            <w:tcW w:w="1870" w:type="dxa"/>
            <w:vAlign w:val="center"/>
          </w:tcPr>
          <w:p w14:paraId="3B1746A1" w14:textId="4BB5F96E"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ResNet50</w:t>
            </w:r>
          </w:p>
        </w:tc>
        <w:tc>
          <w:tcPr>
            <w:tcW w:w="1870" w:type="dxa"/>
            <w:vAlign w:val="center"/>
          </w:tcPr>
          <w:p w14:paraId="06FD718C" w14:textId="1F2ED943"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CNN-Based</w:t>
            </w:r>
          </w:p>
        </w:tc>
        <w:tc>
          <w:tcPr>
            <w:tcW w:w="1870" w:type="dxa"/>
            <w:vAlign w:val="center"/>
          </w:tcPr>
          <w:p w14:paraId="43F9C048" w14:textId="6351B32F"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30,000</w:t>
            </w:r>
          </w:p>
        </w:tc>
        <w:tc>
          <w:tcPr>
            <w:tcW w:w="1870" w:type="dxa"/>
            <w:vAlign w:val="center"/>
          </w:tcPr>
          <w:p w14:paraId="5F525B60" w14:textId="5053F5BA"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Single</w:t>
            </w:r>
          </w:p>
        </w:tc>
        <w:tc>
          <w:tcPr>
            <w:tcW w:w="1870" w:type="dxa"/>
            <w:vAlign w:val="center"/>
          </w:tcPr>
          <w:p w14:paraId="75886E2E" w14:textId="4006D0BD"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89.8</w:t>
            </w:r>
          </w:p>
        </w:tc>
      </w:tr>
      <w:tr w:rsidR="007F030F" w:rsidRPr="007F030F" w14:paraId="2F8BBB44" w14:textId="77777777" w:rsidTr="007F030F">
        <w:trPr>
          <w:jc w:val="center"/>
        </w:trPr>
        <w:tc>
          <w:tcPr>
            <w:tcW w:w="1870" w:type="dxa"/>
            <w:vAlign w:val="center"/>
          </w:tcPr>
          <w:p w14:paraId="74CD6069" w14:textId="6082B947"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InceptionV3</w:t>
            </w:r>
          </w:p>
        </w:tc>
        <w:tc>
          <w:tcPr>
            <w:tcW w:w="1870" w:type="dxa"/>
            <w:vAlign w:val="center"/>
          </w:tcPr>
          <w:p w14:paraId="05F88B31" w14:textId="120AB1BC"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CNN-Based</w:t>
            </w:r>
          </w:p>
        </w:tc>
        <w:tc>
          <w:tcPr>
            <w:tcW w:w="1870" w:type="dxa"/>
            <w:vAlign w:val="center"/>
          </w:tcPr>
          <w:p w14:paraId="2B0091C5" w14:textId="3F514413"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35,000</w:t>
            </w:r>
          </w:p>
        </w:tc>
        <w:tc>
          <w:tcPr>
            <w:tcW w:w="1870" w:type="dxa"/>
            <w:vAlign w:val="center"/>
          </w:tcPr>
          <w:p w14:paraId="4FE50A88" w14:textId="2BAD7162"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Single</w:t>
            </w:r>
          </w:p>
        </w:tc>
        <w:tc>
          <w:tcPr>
            <w:tcW w:w="1870" w:type="dxa"/>
            <w:vAlign w:val="center"/>
          </w:tcPr>
          <w:p w14:paraId="20D1E6B0" w14:textId="37E38655"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color w:val="000000"/>
              </w:rPr>
              <w:t>91.3</w:t>
            </w:r>
          </w:p>
        </w:tc>
      </w:tr>
      <w:tr w:rsidR="007F030F" w:rsidRPr="007F030F" w14:paraId="76A4E0E2" w14:textId="77777777" w:rsidTr="007F030F">
        <w:trPr>
          <w:jc w:val="center"/>
        </w:trPr>
        <w:tc>
          <w:tcPr>
            <w:tcW w:w="1870" w:type="dxa"/>
            <w:vAlign w:val="center"/>
          </w:tcPr>
          <w:p w14:paraId="1E9BE491" w14:textId="2EA53A87"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Proposed Model (DenseNet121)</w:t>
            </w:r>
          </w:p>
        </w:tc>
        <w:tc>
          <w:tcPr>
            <w:tcW w:w="1870" w:type="dxa"/>
            <w:vAlign w:val="center"/>
          </w:tcPr>
          <w:p w14:paraId="5D9C3F61" w14:textId="13C32A1B"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Deep CNN</w:t>
            </w:r>
          </w:p>
        </w:tc>
        <w:tc>
          <w:tcPr>
            <w:tcW w:w="1870" w:type="dxa"/>
            <w:vAlign w:val="center"/>
          </w:tcPr>
          <w:p w14:paraId="4E3848A0" w14:textId="41331836"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50,000</w:t>
            </w:r>
          </w:p>
        </w:tc>
        <w:tc>
          <w:tcPr>
            <w:tcW w:w="1870" w:type="dxa"/>
            <w:vAlign w:val="center"/>
          </w:tcPr>
          <w:p w14:paraId="6046FA8A" w14:textId="6034B79E"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Multiple</w:t>
            </w:r>
          </w:p>
        </w:tc>
        <w:tc>
          <w:tcPr>
            <w:tcW w:w="1870" w:type="dxa"/>
            <w:vAlign w:val="center"/>
          </w:tcPr>
          <w:p w14:paraId="1E0666DD" w14:textId="617506BB" w:rsidR="007F030F" w:rsidRP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sidRPr="007F030F">
              <w:rPr>
                <w:rFonts w:ascii="Times New Roman" w:hAnsi="Times New Roman" w:cs="Times New Roman"/>
                <w:b/>
                <w:bCs/>
                <w:color w:val="000000"/>
              </w:rPr>
              <w:t>95.2</w:t>
            </w:r>
          </w:p>
        </w:tc>
      </w:tr>
    </w:tbl>
    <w:p w14:paraId="3213F35F" w14:textId="3E5C291E" w:rsidR="00E0341E"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The results indicate that the proposed multi-disease detection model outperforms single-disease models, confirming the advantages of using multi-task learning and DenseNet121 architecture.</w:t>
      </w:r>
    </w:p>
    <w:p w14:paraId="596CBE54" w14:textId="77777777" w:rsidR="007F030F" w:rsidRPr="007F030F" w:rsidRDefault="007F030F" w:rsidP="007F030F">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7F030F">
        <w:rPr>
          <w:rFonts w:ascii="Times New Roman" w:eastAsia="Times New Roman" w:hAnsi="Times New Roman" w:cs="Times New Roman"/>
          <w:b/>
          <w:bCs/>
          <w:kern w:val="0"/>
          <w:sz w:val="24"/>
          <w:szCs w:val="24"/>
          <w:lang w:val="en-IN" w:eastAsia="en-IN"/>
          <w14:ligatures w14:val="none"/>
        </w:rPr>
        <w:t>Confusion Matrix</w:t>
      </w:r>
    </w:p>
    <w:p w14:paraId="78ED4BD1" w14:textId="7EEF2111" w:rsidR="007F030F"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The confusion matrix further validates the model's classification accuracy, displaying the number of correct and incorrect predictions.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F030F" w14:paraId="7029E95B" w14:textId="77777777" w:rsidTr="00B67D0E">
        <w:tc>
          <w:tcPr>
            <w:tcW w:w="9350" w:type="dxa"/>
          </w:tcPr>
          <w:p w14:paraId="6FBAE682" w14:textId="506AF6A2" w:rsid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lastRenderedPageBreak/>
              <w:drawing>
                <wp:inline distT="0" distB="0" distL="0" distR="0" wp14:anchorId="32847699" wp14:editId="0F2DC56D">
                  <wp:extent cx="2585267" cy="2219498"/>
                  <wp:effectExtent l="0" t="0" r="5715" b="9525"/>
                  <wp:docPr id="1585448535" name="Picture 4" descr="A chart of different types of catara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48535" name="Picture 4" descr="A chart of different types of cataracts&#10;&#10;AI-generated content may be incorrect."/>
                          <pic:cNvPicPr/>
                        </pic:nvPicPr>
                        <pic:blipFill rotWithShape="1">
                          <a:blip r:embed="rId6" cstate="print">
                            <a:extLst>
                              <a:ext uri="{28A0092B-C50C-407E-A947-70E740481C1C}">
                                <a14:useLocalDpi xmlns:a14="http://schemas.microsoft.com/office/drawing/2010/main" val="0"/>
                              </a:ext>
                            </a:extLst>
                          </a:blip>
                          <a:srcRect t="486"/>
                          <a:stretch/>
                        </pic:blipFill>
                        <pic:spPr bwMode="auto">
                          <a:xfrm>
                            <a:off x="0" y="0"/>
                            <a:ext cx="2585267" cy="22194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88C1226" w14:textId="6E80FD80" w:rsidR="007F030F" w:rsidRPr="00B67D0E" w:rsidRDefault="007F030F" w:rsidP="00B67D0E">
      <w:pPr>
        <w:spacing w:before="100" w:beforeAutospacing="1" w:after="100" w:afterAutospacing="1" w:line="360" w:lineRule="auto"/>
        <w:jc w:val="center"/>
        <w:rPr>
          <w:rFonts w:ascii="Times New Roman" w:eastAsia="Times New Roman" w:hAnsi="Times New Roman" w:cs="Times New Roman"/>
          <w:b/>
          <w:bCs/>
          <w:kern w:val="0"/>
          <w:sz w:val="20"/>
          <w:szCs w:val="20"/>
          <w:lang w:val="en-IN" w:eastAsia="en-IN"/>
          <w14:ligatures w14:val="none"/>
        </w:rPr>
      </w:pPr>
      <w:r w:rsidRPr="00B67D0E">
        <w:rPr>
          <w:rFonts w:ascii="Times New Roman" w:eastAsia="Times New Roman" w:hAnsi="Times New Roman" w:cs="Times New Roman"/>
          <w:b/>
          <w:bCs/>
          <w:kern w:val="0"/>
          <w:sz w:val="20"/>
          <w:szCs w:val="20"/>
          <w:lang w:val="en-IN" w:eastAsia="en-IN"/>
          <w14:ligatures w14:val="none"/>
        </w:rPr>
        <w:t xml:space="preserve">Figure 1: </w:t>
      </w:r>
      <w:r w:rsidR="00B67D0E" w:rsidRPr="00B67D0E">
        <w:rPr>
          <w:rFonts w:ascii="Times New Roman" w:eastAsia="Times New Roman" w:hAnsi="Times New Roman" w:cs="Times New Roman"/>
          <w:b/>
          <w:bCs/>
          <w:kern w:val="0"/>
          <w:sz w:val="20"/>
          <w:szCs w:val="20"/>
          <w:lang w:val="en-IN" w:eastAsia="en-IN"/>
          <w14:ligatures w14:val="none"/>
        </w:rPr>
        <w:t>Confusion Matrix for Multi-Class Classification of Eye Diseases</w:t>
      </w:r>
    </w:p>
    <w:p w14:paraId="04ED27EB" w14:textId="77777777" w:rsidR="007F030F" w:rsidRPr="007F030F" w:rsidRDefault="007F030F" w:rsidP="007F030F">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7F030F">
        <w:rPr>
          <w:rFonts w:ascii="Times New Roman" w:eastAsia="Times New Roman" w:hAnsi="Times New Roman" w:cs="Times New Roman"/>
          <w:b/>
          <w:bCs/>
          <w:kern w:val="0"/>
          <w:sz w:val="24"/>
          <w:szCs w:val="24"/>
          <w:lang w:val="en-IN" w:eastAsia="en-IN"/>
          <w14:ligatures w14:val="none"/>
        </w:rPr>
        <w:t>ROC Curve (Receiver Operating Characteristic)</w:t>
      </w:r>
    </w:p>
    <w:p w14:paraId="6BE88B4C" w14:textId="09E98A78" w:rsidR="007F030F"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This graph will plot the True Positive Rate (Sensitivity) vs. False Positive Rate, showing the model’s ability to distinguish between disease classes. The AUC (Area Under the Curve) scores for DR, Glaucoma, and Cataracts should be around 0.97, 0.98, and 0.96, respectively, indicating high reliability.</w:t>
      </w:r>
    </w:p>
    <w:p w14:paraId="2D88248A" w14:textId="0BC914D4" w:rsidR="007F030F" w:rsidRDefault="007F030F" w:rsidP="007F030F">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drawing>
          <wp:inline distT="0" distB="0" distL="0" distR="0" wp14:anchorId="3C30AE8E" wp14:editId="23DC4BA4">
            <wp:extent cx="3848793" cy="3172787"/>
            <wp:effectExtent l="0" t="0" r="0" b="8890"/>
            <wp:docPr id="492974320" name="Picture 5" descr="A graph of a normal blood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74320" name="Picture 5" descr="A graph of a normal blood pressur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851167" cy="3174744"/>
                    </a:xfrm>
                    <a:prstGeom prst="rect">
                      <a:avLst/>
                    </a:prstGeom>
                  </pic:spPr>
                </pic:pic>
              </a:graphicData>
            </a:graphic>
          </wp:inline>
        </w:drawing>
      </w:r>
    </w:p>
    <w:p w14:paraId="4611185A" w14:textId="0F042DCC" w:rsidR="007F030F" w:rsidRPr="00B67D0E" w:rsidRDefault="007F030F" w:rsidP="00B67D0E">
      <w:pPr>
        <w:spacing w:before="100" w:beforeAutospacing="1" w:after="100" w:afterAutospacing="1" w:line="360" w:lineRule="auto"/>
        <w:jc w:val="center"/>
        <w:rPr>
          <w:rFonts w:ascii="Times New Roman" w:eastAsia="Times New Roman" w:hAnsi="Times New Roman" w:cs="Times New Roman"/>
          <w:b/>
          <w:bCs/>
          <w:kern w:val="0"/>
          <w:sz w:val="20"/>
          <w:szCs w:val="20"/>
          <w:lang w:val="en-IN" w:eastAsia="en-IN"/>
          <w14:ligatures w14:val="none"/>
        </w:rPr>
      </w:pPr>
      <w:r w:rsidRPr="00B67D0E">
        <w:rPr>
          <w:rFonts w:ascii="Times New Roman" w:eastAsia="Times New Roman" w:hAnsi="Times New Roman" w:cs="Times New Roman"/>
          <w:b/>
          <w:bCs/>
          <w:kern w:val="0"/>
          <w:sz w:val="20"/>
          <w:szCs w:val="20"/>
          <w:lang w:val="en-IN" w:eastAsia="en-IN"/>
          <w14:ligatures w14:val="none"/>
        </w:rPr>
        <w:t xml:space="preserve">Figure 2: </w:t>
      </w:r>
      <w:r w:rsidR="00B67D0E" w:rsidRPr="00B67D0E">
        <w:rPr>
          <w:rFonts w:ascii="Times New Roman" w:eastAsia="Times New Roman" w:hAnsi="Times New Roman" w:cs="Times New Roman"/>
          <w:b/>
          <w:bCs/>
          <w:kern w:val="0"/>
          <w:sz w:val="20"/>
          <w:szCs w:val="20"/>
          <w:lang w:val="en-IN" w:eastAsia="en-IN"/>
          <w14:ligatures w14:val="none"/>
        </w:rPr>
        <w:t>ROC Curve Showing the Classification Performance of the Model</w:t>
      </w:r>
    </w:p>
    <w:p w14:paraId="2E349AE6" w14:textId="5389E379" w:rsidR="007F030F" w:rsidRPr="007F030F" w:rsidRDefault="007F030F" w:rsidP="007F030F">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7F030F">
        <w:rPr>
          <w:rFonts w:ascii="Times New Roman" w:eastAsia="Times New Roman" w:hAnsi="Times New Roman" w:cs="Times New Roman"/>
          <w:b/>
          <w:bCs/>
          <w:kern w:val="0"/>
          <w:sz w:val="24"/>
          <w:szCs w:val="24"/>
          <w:lang w:val="en-IN" w:eastAsia="en-IN"/>
          <w14:ligatures w14:val="none"/>
        </w:rPr>
        <w:lastRenderedPageBreak/>
        <w:t>Clinical Relevance and Interpretability</w:t>
      </w:r>
    </w:p>
    <w:p w14:paraId="1125F151" w14:textId="364B988D" w:rsidR="007F030F" w:rsidRDefault="007F030F" w:rsidP="00B67D0E">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The high accuracy and robustness of the proposed model demonstrate strong clinical relevance for automated ophthalmic screening. The AI system offers faster, scalable, and cost-effective diagnostics, making it particularly beneficial for resource-constrained settings. Unlike traditional manual screening methods, which are time-consuming and dependent on expert availability, the AI framework enables instant detection of multiple diseases, reducing patient wait times and improving early intervention rates.</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To enhance interpretability, Grad-CAM (Gradient-weighted Class Activation Mapping) was employed to visualize the regions of interest in retinal images that contributed most to the model’s decision-making. The visualization allows ophthalmologists to verify model predictions, ensuring transparency in AI-driven diagnostics.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67D0E" w14:paraId="562FF1CE" w14:textId="77777777" w:rsidTr="004A3B2D">
        <w:tc>
          <w:tcPr>
            <w:tcW w:w="9350" w:type="dxa"/>
          </w:tcPr>
          <w:p w14:paraId="11C53932" w14:textId="41669613" w:rsidR="00B67D0E" w:rsidRDefault="00B67D0E" w:rsidP="00B67D0E">
            <w:pPr>
              <w:spacing w:before="100" w:beforeAutospacing="1" w:after="100" w:afterAutospacing="1" w:line="360" w:lineRule="auto"/>
              <w:jc w:val="center"/>
              <w:rPr>
                <w:rFonts w:ascii="Times New Roman" w:eastAsia="Times New Roman" w:hAnsi="Times New Roman" w:cs="Times New Roman"/>
                <w:kern w:val="0"/>
                <w:sz w:val="24"/>
                <w:szCs w:val="24"/>
                <w:lang w:val="en-IN" w:eastAsia="en-IN"/>
                <w14:ligatures w14:val="none"/>
              </w:rPr>
            </w:pPr>
            <w:r>
              <w:rPr>
                <w:noProof/>
              </w:rPr>
              <w:drawing>
                <wp:inline distT="0" distB="0" distL="0" distR="0" wp14:anchorId="17983BAF" wp14:editId="463667D0">
                  <wp:extent cx="2978714" cy="2834178"/>
                  <wp:effectExtent l="0" t="0" r="0" b="4445"/>
                  <wp:docPr id="93784026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rotWithShape="1">
                          <a:blip r:embed="rId8">
                            <a:extLst>
                              <a:ext uri="{28A0092B-C50C-407E-A947-70E740481C1C}">
                                <a14:useLocalDpi xmlns:a14="http://schemas.microsoft.com/office/drawing/2010/main" val="0"/>
                              </a:ext>
                            </a:extLst>
                          </a:blip>
                          <a:srcRect l="2797" t="1" r="2225" b="9631"/>
                          <a:stretch/>
                        </pic:blipFill>
                        <pic:spPr bwMode="auto">
                          <a:xfrm>
                            <a:off x="0" y="0"/>
                            <a:ext cx="2983318" cy="283855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65887B" w14:textId="3CE116CD" w:rsidR="00B67D0E" w:rsidRDefault="00B67D0E"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 xml:space="preserve">Figure 3: </w:t>
      </w:r>
      <w:r w:rsidRPr="00B67D0E">
        <w:rPr>
          <w:rFonts w:ascii="Times New Roman" w:eastAsia="Times New Roman" w:hAnsi="Times New Roman" w:cs="Times New Roman"/>
          <w:kern w:val="0"/>
          <w:sz w:val="24"/>
          <w:szCs w:val="24"/>
          <w:lang w:val="en-IN" w:eastAsia="en-IN"/>
          <w14:ligatures w14:val="none"/>
        </w:rPr>
        <w:t>Grad-CAM Visualization Highlighting Disease-Specific Regions in Retinal Images</w:t>
      </w:r>
    </w:p>
    <w:p w14:paraId="1EFF0005" w14:textId="5F663023" w:rsidR="007F030F" w:rsidRPr="00EA11E6" w:rsidRDefault="007F030F" w:rsidP="007F030F">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EA11E6">
        <w:rPr>
          <w:rFonts w:ascii="Times New Roman" w:eastAsia="Times New Roman" w:hAnsi="Times New Roman" w:cs="Times New Roman"/>
          <w:b/>
          <w:bCs/>
          <w:kern w:val="0"/>
          <w:sz w:val="24"/>
          <w:szCs w:val="24"/>
          <w:lang w:val="en-IN" w:eastAsia="en-IN"/>
          <w14:ligatures w14:val="none"/>
        </w:rPr>
        <w:t>Ethical Considerations and Privacy Measures</w:t>
      </w:r>
    </w:p>
    <w:p w14:paraId="5E94320D" w14:textId="61CB690C" w:rsidR="007F030F"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7F030F">
        <w:rPr>
          <w:rFonts w:ascii="Times New Roman" w:eastAsia="Times New Roman" w:hAnsi="Times New Roman" w:cs="Times New Roman"/>
          <w:kern w:val="0"/>
          <w:sz w:val="24"/>
          <w:szCs w:val="24"/>
          <w:lang w:val="en-IN" w:eastAsia="en-IN"/>
          <w14:ligatures w14:val="none"/>
        </w:rPr>
        <w:t>AI-driven diagnostic models raise concerns regarding data privacy, fairness, and ethical deployment. To address these concerns, the following measures were implemented:</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Federated Learning: Ensures decentralized model training, allowing hospitals to retain control over sensitive patient data while contributing to AI improvement.</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Data Anonymization: Personally identifiable information (PII) was removed from the dataset to protect patient confidentiality.</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 xml:space="preserve">Bias Mitigation: </w:t>
      </w:r>
      <w:r w:rsidRPr="007F030F">
        <w:rPr>
          <w:rFonts w:ascii="Times New Roman" w:eastAsia="Times New Roman" w:hAnsi="Times New Roman" w:cs="Times New Roman"/>
          <w:kern w:val="0"/>
          <w:sz w:val="24"/>
          <w:szCs w:val="24"/>
          <w:lang w:val="en-IN" w:eastAsia="en-IN"/>
          <w14:ligatures w14:val="none"/>
        </w:rPr>
        <w:lastRenderedPageBreak/>
        <w:t>The dataset was curated from multiple repositories across different demographics, ensuring that the model remains equitable and unbiased across populations.</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Regulatory Compliance: The system adheres to GDPR (General Data Protection Regulation) and HIPAA (Health Insurance Portability and Accountability Act) guidelines for ethical AI deployment in healthcare.</w:t>
      </w:r>
      <w:r>
        <w:rPr>
          <w:rFonts w:ascii="Times New Roman" w:eastAsia="Times New Roman" w:hAnsi="Times New Roman" w:cs="Times New Roman"/>
          <w:kern w:val="0"/>
          <w:sz w:val="24"/>
          <w:szCs w:val="24"/>
          <w:lang w:val="en-IN" w:eastAsia="en-IN"/>
          <w14:ligatures w14:val="none"/>
        </w:rPr>
        <w:t xml:space="preserve"> </w:t>
      </w:r>
      <w:r w:rsidRPr="007F030F">
        <w:rPr>
          <w:rFonts w:ascii="Times New Roman" w:eastAsia="Times New Roman" w:hAnsi="Times New Roman" w:cs="Times New Roman"/>
          <w:kern w:val="0"/>
          <w:sz w:val="24"/>
          <w:szCs w:val="24"/>
          <w:lang w:val="en-IN" w:eastAsia="en-IN"/>
          <w14:ligatures w14:val="none"/>
        </w:rPr>
        <w:t>By integrating these privacy-preserving techniques, the proposed model ensures ethical AI adoption, addressing concerns related to data security and algorithmic bias.</w:t>
      </w:r>
    </w:p>
    <w:p w14:paraId="1D3549DC" w14:textId="77777777" w:rsidR="004A3B2D" w:rsidRDefault="004A3B2D" w:rsidP="00EA11E6">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p>
    <w:p w14:paraId="15D24AB6" w14:textId="583C527C" w:rsidR="00EA11E6" w:rsidRPr="00EA11E6" w:rsidRDefault="00EA11E6" w:rsidP="00EA11E6">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EA11E6">
        <w:rPr>
          <w:rFonts w:ascii="Times New Roman" w:eastAsia="Times New Roman" w:hAnsi="Times New Roman" w:cs="Times New Roman"/>
          <w:b/>
          <w:bCs/>
          <w:kern w:val="0"/>
          <w:sz w:val="24"/>
          <w:szCs w:val="24"/>
          <w:lang w:val="en-IN" w:eastAsia="en-IN"/>
          <w14:ligatures w14:val="none"/>
        </w:rPr>
        <w:t>Conclusion</w:t>
      </w:r>
    </w:p>
    <w:p w14:paraId="6CE08E92" w14:textId="081FBBFB" w:rsidR="00EA11E6" w:rsidRPr="00EA11E6" w:rsidRDefault="00EA11E6" w:rsidP="00EA11E6">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EA11E6">
        <w:rPr>
          <w:rFonts w:ascii="Times New Roman" w:eastAsia="Times New Roman" w:hAnsi="Times New Roman" w:cs="Times New Roman"/>
          <w:kern w:val="0"/>
          <w:sz w:val="24"/>
          <w:szCs w:val="24"/>
          <w:lang w:val="en-IN" w:eastAsia="en-IN"/>
          <w14:ligatures w14:val="none"/>
        </w:rPr>
        <w:t>This study successfully developed an AI-driven framework for simultaneous detection of multiple eye diseases, specifically diabetic retinopathy, glaucoma, and cataracts, using retinal fundus images and a DenseNet121-based deep learning model. The proposed system achieved an overall accuracy of 95.2%, surpassing conventional single-disease diagnostic models. Key performance metrics, including precision, recall, F1-score, and AUC-ROC values, further confirmed the high reliability and robustness of the model.</w:t>
      </w:r>
      <w:r>
        <w:rPr>
          <w:rFonts w:ascii="Times New Roman" w:eastAsia="Times New Roman" w:hAnsi="Times New Roman" w:cs="Times New Roman"/>
          <w:kern w:val="0"/>
          <w:sz w:val="24"/>
          <w:szCs w:val="24"/>
          <w:lang w:val="en-IN" w:eastAsia="en-IN"/>
          <w14:ligatures w14:val="none"/>
        </w:rPr>
        <w:t xml:space="preserve"> </w:t>
      </w:r>
      <w:r w:rsidRPr="00EA11E6">
        <w:rPr>
          <w:rFonts w:ascii="Times New Roman" w:eastAsia="Times New Roman" w:hAnsi="Times New Roman" w:cs="Times New Roman"/>
          <w:kern w:val="0"/>
          <w:sz w:val="24"/>
          <w:szCs w:val="24"/>
          <w:lang w:val="en-IN" w:eastAsia="en-IN"/>
          <w14:ligatures w14:val="none"/>
        </w:rPr>
        <w:t>The confusion matrix analysis demonstrated strong classification performance, with minimal misclassification errors, highlighting the model’s capability to differentiate between multiple eye diseases effectively. The ROC curves revealed high AUC values (0.97 for DR, 0.98 for Glaucoma, and 0.96 for Cataracts), indicating superior disease discrimination capability. Furthermore, Grad-CAM visualizations provided critical explainability and interpretability, allowing ophthalmologists to verify AI-predicted lesion regions, ensuring that the model aligns with clinical diagnostic reasoning.</w:t>
      </w:r>
    </w:p>
    <w:p w14:paraId="44E80439" w14:textId="48A79829" w:rsidR="00EA11E6" w:rsidRDefault="00EA11E6" w:rsidP="00EA11E6">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EA11E6">
        <w:rPr>
          <w:rFonts w:ascii="Times New Roman" w:eastAsia="Times New Roman" w:hAnsi="Times New Roman" w:cs="Times New Roman"/>
          <w:kern w:val="0"/>
          <w:sz w:val="24"/>
          <w:szCs w:val="24"/>
          <w:lang w:val="en-IN" w:eastAsia="en-IN"/>
          <w14:ligatures w14:val="none"/>
        </w:rPr>
        <w:t>A major advantage of this framework is its potential for scalability and real-world deployment, particularly in resource-limited healthcare settings. By automating the screening process, the system reduces diagnostic workload for ophthalmologists, improves early disease detection rates, and facilitates timely interventions, significantly impacting global ophthalmic care. The integration of federated learning, data anonymization, and bias mitigation techniques further ensures ethical deployment and patient privacy protection, making this AI system a clinically viable and socially responsible innovation.</w:t>
      </w:r>
      <w:r>
        <w:rPr>
          <w:rFonts w:ascii="Times New Roman" w:eastAsia="Times New Roman" w:hAnsi="Times New Roman" w:cs="Times New Roman"/>
          <w:kern w:val="0"/>
          <w:sz w:val="24"/>
          <w:szCs w:val="24"/>
          <w:lang w:val="en-IN" w:eastAsia="en-IN"/>
          <w14:ligatures w14:val="none"/>
        </w:rPr>
        <w:t xml:space="preserve"> </w:t>
      </w:r>
      <w:r w:rsidRPr="00EA11E6">
        <w:rPr>
          <w:rFonts w:ascii="Times New Roman" w:eastAsia="Times New Roman" w:hAnsi="Times New Roman" w:cs="Times New Roman"/>
          <w:kern w:val="0"/>
          <w:sz w:val="24"/>
          <w:szCs w:val="24"/>
          <w:lang w:val="en-IN" w:eastAsia="en-IN"/>
          <w14:ligatures w14:val="none"/>
        </w:rPr>
        <w:t xml:space="preserve">In conclusion, this AI-powered multi-disease detection framework addresses critical gaps in traditional diagnostic methods and offers a transformative </w:t>
      </w:r>
      <w:r w:rsidRPr="00EA11E6">
        <w:rPr>
          <w:rFonts w:ascii="Times New Roman" w:eastAsia="Times New Roman" w:hAnsi="Times New Roman" w:cs="Times New Roman"/>
          <w:kern w:val="0"/>
          <w:sz w:val="24"/>
          <w:szCs w:val="24"/>
          <w:lang w:val="en-IN" w:eastAsia="en-IN"/>
          <w14:ligatures w14:val="none"/>
        </w:rPr>
        <w:lastRenderedPageBreak/>
        <w:t>tool for ophthalmologists and healthcare professionals. Future work will focus on expanding the dataset, integrating multi-modal imaging techniques, and improving real-time processing capabilities to further enhance diagnostic precision and clinical applicability.</w:t>
      </w:r>
    </w:p>
    <w:p w14:paraId="55DC2565" w14:textId="3FEF681C" w:rsidR="004A3B2D" w:rsidRDefault="004A3B2D" w:rsidP="00EA11E6">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r w:rsidRPr="004A3B2D">
        <w:rPr>
          <w:rFonts w:ascii="Times New Roman" w:eastAsia="Times New Roman" w:hAnsi="Times New Roman" w:cs="Times New Roman"/>
          <w:b/>
          <w:bCs/>
          <w:kern w:val="0"/>
          <w:sz w:val="24"/>
          <w:szCs w:val="24"/>
          <w:lang w:val="en-IN" w:eastAsia="en-IN"/>
          <w14:ligatures w14:val="none"/>
        </w:rPr>
        <w:t xml:space="preserve">References </w:t>
      </w:r>
    </w:p>
    <w:p w14:paraId="29320879"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 M. D. Abramoff, J. C. Folk, N. M. Han, S. M. Walker, M. T. Williams, and Y. S. Niemeijer, “Automated analysis of retinal images for detection of diabetic retinopathy,” </w:t>
      </w:r>
      <w:r w:rsidRPr="007C3F38">
        <w:rPr>
          <w:rFonts w:ascii="Times New Roman" w:eastAsia="Times New Roman" w:hAnsi="Times New Roman" w:cs="Times New Roman"/>
          <w:i/>
          <w:iCs/>
          <w:kern w:val="0"/>
          <w:sz w:val="24"/>
          <w:szCs w:val="24"/>
          <w:lang w:val="en-IN" w:eastAsia="en-IN"/>
          <w14:ligatures w14:val="none"/>
        </w:rPr>
        <w:t>Investigative Ophthalmology &amp; Visual Science</w:t>
      </w:r>
      <w:r w:rsidRPr="007C3F38">
        <w:rPr>
          <w:rFonts w:ascii="Times New Roman" w:eastAsia="Times New Roman" w:hAnsi="Times New Roman" w:cs="Times New Roman"/>
          <w:kern w:val="0"/>
          <w:sz w:val="24"/>
          <w:szCs w:val="24"/>
          <w:lang w:val="en-IN" w:eastAsia="en-IN"/>
          <w14:ligatures w14:val="none"/>
        </w:rPr>
        <w:t>, vol. 51, no. 10, pp. 5862–5873, 2010.</w:t>
      </w:r>
    </w:p>
    <w:p w14:paraId="7F7BD568"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[2] Q. Li, X. Feng, L. Cao, C. Zhang, and Y. Gao, “A deep learning-based method for automatic diagnosis of diabetic retinopathy using retinal fundus images,” </w:t>
      </w:r>
      <w:r w:rsidRPr="007C3F38">
        <w:rPr>
          <w:rFonts w:ascii="Times New Roman" w:eastAsia="Times New Roman" w:hAnsi="Times New Roman" w:cs="Times New Roman"/>
          <w:i/>
          <w:iCs/>
          <w:kern w:val="0"/>
          <w:sz w:val="24"/>
          <w:szCs w:val="24"/>
          <w:lang w:val="en-IN" w:eastAsia="en-IN"/>
          <w14:ligatures w14:val="none"/>
        </w:rPr>
        <w:t>IEEE Transactions on Medical Imaging</w:t>
      </w:r>
      <w:r w:rsidRPr="007C3F38">
        <w:rPr>
          <w:rFonts w:ascii="Times New Roman" w:eastAsia="Times New Roman" w:hAnsi="Times New Roman" w:cs="Times New Roman"/>
          <w:kern w:val="0"/>
          <w:sz w:val="24"/>
          <w:szCs w:val="24"/>
          <w:lang w:val="en-IN" w:eastAsia="en-IN"/>
          <w14:ligatures w14:val="none"/>
        </w:rPr>
        <w:t>, vol. 39, no. 6, pp. 1206–1216, 2020.</w:t>
      </w:r>
    </w:p>
    <w:p w14:paraId="4CB6F39D"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[3] G. Quellec, M. Lamard, C. Charrière, S. D. Boudiard, and B. Cochener, “Deep learning models for diabetic retinopathy screening,” </w:t>
      </w:r>
      <w:r w:rsidRPr="007C3F38">
        <w:rPr>
          <w:rFonts w:ascii="Times New Roman" w:eastAsia="Times New Roman" w:hAnsi="Times New Roman" w:cs="Times New Roman"/>
          <w:i/>
          <w:iCs/>
          <w:kern w:val="0"/>
          <w:sz w:val="24"/>
          <w:szCs w:val="24"/>
          <w:lang w:val="en-IN" w:eastAsia="en-IN"/>
          <w14:ligatures w14:val="none"/>
        </w:rPr>
        <w:t>Medical Image Analysis</w:t>
      </w:r>
      <w:r w:rsidRPr="007C3F38">
        <w:rPr>
          <w:rFonts w:ascii="Times New Roman" w:eastAsia="Times New Roman" w:hAnsi="Times New Roman" w:cs="Times New Roman"/>
          <w:kern w:val="0"/>
          <w:sz w:val="24"/>
          <w:szCs w:val="24"/>
          <w:lang w:val="en-IN" w:eastAsia="en-IN"/>
          <w14:ligatures w14:val="none"/>
        </w:rPr>
        <w:t>, vol. 59, pp. 101-107, 2020.</w:t>
      </w:r>
    </w:p>
    <w:p w14:paraId="21AC9931"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[4] X. Zhang, J. Xie, H. Xia, Y. Wu, and P. Wang, “Application of convolutional neural networks for glaucoma diagnosis based on fundus images,” </w:t>
      </w:r>
      <w:r w:rsidRPr="007C3F38">
        <w:rPr>
          <w:rFonts w:ascii="Times New Roman" w:eastAsia="Times New Roman" w:hAnsi="Times New Roman" w:cs="Times New Roman"/>
          <w:i/>
          <w:iCs/>
          <w:kern w:val="0"/>
          <w:sz w:val="24"/>
          <w:szCs w:val="24"/>
          <w:lang w:val="en-IN" w:eastAsia="en-IN"/>
          <w14:ligatures w14:val="none"/>
        </w:rPr>
        <w:t>Biomedical Signal Processing and Control</w:t>
      </w:r>
      <w:r w:rsidRPr="007C3F38">
        <w:rPr>
          <w:rFonts w:ascii="Times New Roman" w:eastAsia="Times New Roman" w:hAnsi="Times New Roman" w:cs="Times New Roman"/>
          <w:kern w:val="0"/>
          <w:sz w:val="24"/>
          <w:szCs w:val="24"/>
          <w:lang w:val="en-IN" w:eastAsia="en-IN"/>
          <w14:ligatures w14:val="none"/>
        </w:rPr>
        <w:t>, vol. 64, pp. 102-108, 2021.</w:t>
      </w:r>
    </w:p>
    <w:p w14:paraId="757DA764"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[5] A. Gargeya and T. Leng, “Automated identification of diabetic retinopathy using deep learning,” </w:t>
      </w:r>
      <w:r w:rsidRPr="007C3F38">
        <w:rPr>
          <w:rFonts w:ascii="Times New Roman" w:eastAsia="Times New Roman" w:hAnsi="Times New Roman" w:cs="Times New Roman"/>
          <w:i/>
          <w:iCs/>
          <w:kern w:val="0"/>
          <w:sz w:val="24"/>
          <w:szCs w:val="24"/>
          <w:lang w:val="en-IN" w:eastAsia="en-IN"/>
          <w14:ligatures w14:val="none"/>
        </w:rPr>
        <w:t>Ophthalmology</w:t>
      </w:r>
      <w:r w:rsidRPr="007C3F38">
        <w:rPr>
          <w:rFonts w:ascii="Times New Roman" w:eastAsia="Times New Roman" w:hAnsi="Times New Roman" w:cs="Times New Roman"/>
          <w:kern w:val="0"/>
          <w:sz w:val="24"/>
          <w:szCs w:val="24"/>
          <w:lang w:val="en-IN" w:eastAsia="en-IN"/>
          <w14:ligatures w14:val="none"/>
        </w:rPr>
        <w:t>, vol. 124, no. 7, pp. 962–969, 2017.</w:t>
      </w:r>
    </w:p>
    <w:p w14:paraId="708BA92D"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[6] S. Gulshan, L. Peng, M. Coram, P. Stumpe, D. Wu, A. Narayanaswamy, and K. Venugopalan, “Development and validation of a deep learning algorithm for detection of diabetic retinopathy in retinal fundus photographs,” </w:t>
      </w:r>
      <w:r w:rsidRPr="007C3F38">
        <w:rPr>
          <w:rFonts w:ascii="Times New Roman" w:eastAsia="Times New Roman" w:hAnsi="Times New Roman" w:cs="Times New Roman"/>
          <w:i/>
          <w:iCs/>
          <w:kern w:val="0"/>
          <w:sz w:val="24"/>
          <w:szCs w:val="24"/>
          <w:lang w:val="en-IN" w:eastAsia="en-IN"/>
          <w14:ligatures w14:val="none"/>
        </w:rPr>
        <w:t>JAMA</w:t>
      </w:r>
      <w:r w:rsidRPr="007C3F38">
        <w:rPr>
          <w:rFonts w:ascii="Times New Roman" w:eastAsia="Times New Roman" w:hAnsi="Times New Roman" w:cs="Times New Roman"/>
          <w:kern w:val="0"/>
          <w:sz w:val="24"/>
          <w:szCs w:val="24"/>
          <w:lang w:val="en-IN" w:eastAsia="en-IN"/>
          <w14:ligatures w14:val="none"/>
        </w:rPr>
        <w:t>, vol. 316, no. 22, pp. 2402–2410, 2016.</w:t>
      </w:r>
    </w:p>
    <w:p w14:paraId="38E61B4F"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[7] L. Ting, M. Cheung, G. Lim, S. Tan, R. van Dam, and J. Peng, “Deep learning for automated detection of referable diabetic retinopathy,” </w:t>
      </w:r>
      <w:r w:rsidRPr="007C3F38">
        <w:rPr>
          <w:rFonts w:ascii="Times New Roman" w:eastAsia="Times New Roman" w:hAnsi="Times New Roman" w:cs="Times New Roman"/>
          <w:i/>
          <w:iCs/>
          <w:kern w:val="0"/>
          <w:sz w:val="24"/>
          <w:szCs w:val="24"/>
          <w:lang w:val="en-IN" w:eastAsia="en-IN"/>
          <w14:ligatures w14:val="none"/>
        </w:rPr>
        <w:t>Ophthalmology</w:t>
      </w:r>
      <w:r w:rsidRPr="007C3F38">
        <w:rPr>
          <w:rFonts w:ascii="Times New Roman" w:eastAsia="Times New Roman" w:hAnsi="Times New Roman" w:cs="Times New Roman"/>
          <w:kern w:val="0"/>
          <w:sz w:val="24"/>
          <w:szCs w:val="24"/>
          <w:lang w:val="en-IN" w:eastAsia="en-IN"/>
          <w14:ligatures w14:val="none"/>
        </w:rPr>
        <w:t>, vol. 124, no. 7, pp. 962–969, 2017.</w:t>
      </w:r>
    </w:p>
    <w:p w14:paraId="6EB27831"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[8] J. De Fauw, J. R. Ledsam, B. Romera-Paredes, S. Nikolov, and T. D. Keane, “Clinically applicable deep learning for diagnosis and referral in retinal disease,” </w:t>
      </w:r>
      <w:r w:rsidRPr="007C3F38">
        <w:rPr>
          <w:rFonts w:ascii="Times New Roman" w:eastAsia="Times New Roman" w:hAnsi="Times New Roman" w:cs="Times New Roman"/>
          <w:i/>
          <w:iCs/>
          <w:kern w:val="0"/>
          <w:sz w:val="24"/>
          <w:szCs w:val="24"/>
          <w:lang w:val="en-IN" w:eastAsia="en-IN"/>
          <w14:ligatures w14:val="none"/>
        </w:rPr>
        <w:t>Nature Medicine</w:t>
      </w:r>
      <w:r w:rsidRPr="007C3F38">
        <w:rPr>
          <w:rFonts w:ascii="Times New Roman" w:eastAsia="Times New Roman" w:hAnsi="Times New Roman" w:cs="Times New Roman"/>
          <w:kern w:val="0"/>
          <w:sz w:val="24"/>
          <w:szCs w:val="24"/>
          <w:lang w:val="en-IN" w:eastAsia="en-IN"/>
          <w14:ligatures w14:val="none"/>
        </w:rPr>
        <w:t>, vol. 24, no. 9, pp. 1342–1350, 2018.</w:t>
      </w:r>
    </w:p>
    <w:p w14:paraId="4FB9EF7A"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[9] C. O. Trucco, A. Ruggeri, E. Karnowski, M. Giancardo, and J. M. Niemeijer, “Novel deep learning architecture for early glaucoma detection,” </w:t>
      </w:r>
      <w:r w:rsidRPr="007C3F38">
        <w:rPr>
          <w:rFonts w:ascii="Times New Roman" w:eastAsia="Times New Roman" w:hAnsi="Times New Roman" w:cs="Times New Roman"/>
          <w:i/>
          <w:iCs/>
          <w:kern w:val="0"/>
          <w:sz w:val="24"/>
          <w:szCs w:val="24"/>
          <w:lang w:val="en-IN" w:eastAsia="en-IN"/>
          <w14:ligatures w14:val="none"/>
        </w:rPr>
        <w:t>IEEE Journal of Biomedical and Health Informatics</w:t>
      </w:r>
      <w:r w:rsidRPr="007C3F38">
        <w:rPr>
          <w:rFonts w:ascii="Times New Roman" w:eastAsia="Times New Roman" w:hAnsi="Times New Roman" w:cs="Times New Roman"/>
          <w:kern w:val="0"/>
          <w:sz w:val="24"/>
          <w:szCs w:val="24"/>
          <w:lang w:val="en-IN" w:eastAsia="en-IN"/>
          <w14:ligatures w14:val="none"/>
        </w:rPr>
        <w:t>, vol. 24, no. 6, pp. 1618–1626, 2020.</w:t>
      </w:r>
    </w:p>
    <w:p w14:paraId="2B2508F1"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lastRenderedPageBreak/>
        <w:t xml:space="preserve">[10] S. B. Kermany, M. Goldbaum, L. Cai, X. C. Valentim, S. Liang, and J. L. Baxter, “Identifying medical diagnoses and treatable diseases by image-based deep learning,” </w:t>
      </w:r>
      <w:r w:rsidRPr="007C3F38">
        <w:rPr>
          <w:rFonts w:ascii="Times New Roman" w:eastAsia="Times New Roman" w:hAnsi="Times New Roman" w:cs="Times New Roman"/>
          <w:i/>
          <w:iCs/>
          <w:kern w:val="0"/>
          <w:sz w:val="24"/>
          <w:szCs w:val="24"/>
          <w:lang w:val="en-IN" w:eastAsia="en-IN"/>
          <w14:ligatures w14:val="none"/>
        </w:rPr>
        <w:t>Cell</w:t>
      </w:r>
      <w:r w:rsidRPr="007C3F38">
        <w:rPr>
          <w:rFonts w:ascii="Times New Roman" w:eastAsia="Times New Roman" w:hAnsi="Times New Roman" w:cs="Times New Roman"/>
          <w:kern w:val="0"/>
          <w:sz w:val="24"/>
          <w:szCs w:val="24"/>
          <w:lang w:val="en-IN" w:eastAsia="en-IN"/>
          <w14:ligatures w14:val="none"/>
        </w:rPr>
        <w:t>, vol. 172, no. 5, pp. 1122–1131, 2018.</w:t>
      </w:r>
    </w:p>
    <w:p w14:paraId="46D4D56D"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[11] T. Chen, R. R. Ran, J. C. Wong, S. K. Raman, and M. J. Tieu, “Hybrid deep learning model for improved diabetic retinopathy detection,” </w:t>
      </w:r>
      <w:r w:rsidRPr="007C3F38">
        <w:rPr>
          <w:rFonts w:ascii="Times New Roman" w:eastAsia="Times New Roman" w:hAnsi="Times New Roman" w:cs="Times New Roman"/>
          <w:i/>
          <w:iCs/>
          <w:kern w:val="0"/>
          <w:sz w:val="24"/>
          <w:szCs w:val="24"/>
          <w:lang w:val="en-IN" w:eastAsia="en-IN"/>
          <w14:ligatures w14:val="none"/>
        </w:rPr>
        <w:t>Journal of Digital Imaging</w:t>
      </w:r>
      <w:r w:rsidRPr="007C3F38">
        <w:rPr>
          <w:rFonts w:ascii="Times New Roman" w:eastAsia="Times New Roman" w:hAnsi="Times New Roman" w:cs="Times New Roman"/>
          <w:kern w:val="0"/>
          <w:sz w:val="24"/>
          <w:szCs w:val="24"/>
          <w:lang w:val="en-IN" w:eastAsia="en-IN"/>
          <w14:ligatures w14:val="none"/>
        </w:rPr>
        <w:t>, vol. 33, pp. 1105–1116, 2020.</w:t>
      </w:r>
    </w:p>
    <w:p w14:paraId="6E0C8233"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[12] L. He, Y. Shen, M. Wang, Q. Huang, and H. Zhang, “A novel CNN-based architecture for multi-class classification of retinal diseases,” </w:t>
      </w:r>
      <w:r w:rsidRPr="007C3F38">
        <w:rPr>
          <w:rFonts w:ascii="Times New Roman" w:eastAsia="Times New Roman" w:hAnsi="Times New Roman" w:cs="Times New Roman"/>
          <w:i/>
          <w:iCs/>
          <w:kern w:val="0"/>
          <w:sz w:val="24"/>
          <w:szCs w:val="24"/>
          <w:lang w:val="en-IN" w:eastAsia="en-IN"/>
          <w14:ligatures w14:val="none"/>
        </w:rPr>
        <w:t>IEEE Access</w:t>
      </w:r>
      <w:r w:rsidRPr="007C3F38">
        <w:rPr>
          <w:rFonts w:ascii="Times New Roman" w:eastAsia="Times New Roman" w:hAnsi="Times New Roman" w:cs="Times New Roman"/>
          <w:kern w:val="0"/>
          <w:sz w:val="24"/>
          <w:szCs w:val="24"/>
          <w:lang w:val="en-IN" w:eastAsia="en-IN"/>
          <w14:ligatures w14:val="none"/>
        </w:rPr>
        <w:t>, vol. 9, pp. 35830–35842, 2021.</w:t>
      </w:r>
    </w:p>
    <w:p w14:paraId="70EBC2EE"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[13] S. Liu, H. Zhang, L. Xu, W. Xie, and J. Li, “Attention-based deep learning for automated glaucoma detection using fundus images,” </w:t>
      </w:r>
      <w:r w:rsidRPr="007C3F38">
        <w:rPr>
          <w:rFonts w:ascii="Times New Roman" w:eastAsia="Times New Roman" w:hAnsi="Times New Roman" w:cs="Times New Roman"/>
          <w:i/>
          <w:iCs/>
          <w:kern w:val="0"/>
          <w:sz w:val="24"/>
          <w:szCs w:val="24"/>
          <w:lang w:val="en-IN" w:eastAsia="en-IN"/>
          <w14:ligatures w14:val="none"/>
        </w:rPr>
        <w:t>IEEE Transactions on Neural Networks and Learning Systems</w:t>
      </w:r>
      <w:r w:rsidRPr="007C3F38">
        <w:rPr>
          <w:rFonts w:ascii="Times New Roman" w:eastAsia="Times New Roman" w:hAnsi="Times New Roman" w:cs="Times New Roman"/>
          <w:kern w:val="0"/>
          <w:sz w:val="24"/>
          <w:szCs w:val="24"/>
          <w:lang w:val="en-IN" w:eastAsia="en-IN"/>
          <w14:ligatures w14:val="none"/>
        </w:rPr>
        <w:t>, vol. 31, no. 11, pp. 4680–4691, 2020.</w:t>
      </w:r>
    </w:p>
    <w:p w14:paraId="1FA20D96"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[14] Y. Xu, H. Lin, J. Li, W. Zhang, and C. Luo, “AI-assisted diagnosis of cataracts using deep learning-based fundus image classification,” </w:t>
      </w:r>
      <w:r w:rsidRPr="007C3F38">
        <w:rPr>
          <w:rFonts w:ascii="Times New Roman" w:eastAsia="Times New Roman" w:hAnsi="Times New Roman" w:cs="Times New Roman"/>
          <w:i/>
          <w:iCs/>
          <w:kern w:val="0"/>
          <w:sz w:val="24"/>
          <w:szCs w:val="24"/>
          <w:lang w:val="en-IN" w:eastAsia="en-IN"/>
          <w14:ligatures w14:val="none"/>
        </w:rPr>
        <w:t>Journal of Clinical Ophthalmology &amp; Vision Science</w:t>
      </w:r>
      <w:r w:rsidRPr="007C3F38">
        <w:rPr>
          <w:rFonts w:ascii="Times New Roman" w:eastAsia="Times New Roman" w:hAnsi="Times New Roman" w:cs="Times New Roman"/>
          <w:kern w:val="0"/>
          <w:sz w:val="24"/>
          <w:szCs w:val="24"/>
          <w:lang w:val="en-IN" w:eastAsia="en-IN"/>
          <w14:ligatures w14:val="none"/>
        </w:rPr>
        <w:t>, vol. 14, no. 4, pp. 178–187, 2022.</w:t>
      </w:r>
    </w:p>
    <w:p w14:paraId="26F00757" w14:textId="77777777" w:rsidR="00FA08D1" w:rsidRPr="007C3F38" w:rsidRDefault="00FA08D1" w:rsidP="00FA08D1">
      <w:pPr>
        <w:spacing w:before="100" w:beforeAutospacing="1" w:after="100" w:afterAutospacing="1"/>
        <w:jc w:val="both"/>
        <w:rPr>
          <w:rFonts w:ascii="Times New Roman" w:eastAsia="Times New Roman" w:hAnsi="Times New Roman" w:cs="Times New Roman"/>
          <w:kern w:val="0"/>
          <w:sz w:val="24"/>
          <w:szCs w:val="24"/>
          <w:lang w:val="en-IN" w:eastAsia="en-IN"/>
          <w14:ligatures w14:val="none"/>
        </w:rPr>
      </w:pPr>
      <w:r w:rsidRPr="007C3F38">
        <w:rPr>
          <w:rFonts w:ascii="Times New Roman" w:eastAsia="Times New Roman" w:hAnsi="Times New Roman" w:cs="Times New Roman"/>
          <w:kern w:val="0"/>
          <w:sz w:val="24"/>
          <w:szCs w:val="24"/>
          <w:lang w:val="en-IN" w:eastAsia="en-IN"/>
          <w14:ligatures w14:val="none"/>
        </w:rPr>
        <w:t xml:space="preserve">[15] K. M. P. Mahapatra, M. S. Chaudhary, L. Verma, P. R. Subramani, and R. Chandra, “Ethical AI in ophthalmology: Ensuring privacy and reducing bias in deep learning-based disease detection,” </w:t>
      </w:r>
      <w:r w:rsidRPr="007C3F38">
        <w:rPr>
          <w:rFonts w:ascii="Times New Roman" w:eastAsia="Times New Roman" w:hAnsi="Times New Roman" w:cs="Times New Roman"/>
          <w:i/>
          <w:iCs/>
          <w:kern w:val="0"/>
          <w:sz w:val="24"/>
          <w:szCs w:val="24"/>
          <w:lang w:val="en-IN" w:eastAsia="en-IN"/>
          <w14:ligatures w14:val="none"/>
        </w:rPr>
        <w:t>IEEE Transactions on Artificial Intelligence</w:t>
      </w:r>
      <w:r w:rsidRPr="007C3F38">
        <w:rPr>
          <w:rFonts w:ascii="Times New Roman" w:eastAsia="Times New Roman" w:hAnsi="Times New Roman" w:cs="Times New Roman"/>
          <w:kern w:val="0"/>
          <w:sz w:val="24"/>
          <w:szCs w:val="24"/>
          <w:lang w:val="en-IN" w:eastAsia="en-IN"/>
          <w14:ligatures w14:val="none"/>
        </w:rPr>
        <w:t>, vol. 3, no. 2, pp. 128–140, 2023.</w:t>
      </w:r>
    </w:p>
    <w:p w14:paraId="615651E5" w14:textId="77777777" w:rsidR="00FA08D1" w:rsidRDefault="00FA08D1" w:rsidP="00FA08D1">
      <w:pPr>
        <w:jc w:val="both"/>
      </w:pPr>
    </w:p>
    <w:p w14:paraId="3EA05D8F" w14:textId="77777777" w:rsidR="00FA08D1" w:rsidRPr="004A3B2D" w:rsidRDefault="00FA08D1" w:rsidP="00EA11E6">
      <w:pPr>
        <w:spacing w:before="100" w:beforeAutospacing="1" w:after="100" w:afterAutospacing="1" w:line="360" w:lineRule="auto"/>
        <w:jc w:val="both"/>
        <w:rPr>
          <w:rFonts w:ascii="Times New Roman" w:eastAsia="Times New Roman" w:hAnsi="Times New Roman" w:cs="Times New Roman"/>
          <w:b/>
          <w:bCs/>
          <w:kern w:val="0"/>
          <w:sz w:val="24"/>
          <w:szCs w:val="24"/>
          <w:lang w:val="en-IN" w:eastAsia="en-IN"/>
          <w14:ligatures w14:val="none"/>
        </w:rPr>
      </w:pPr>
    </w:p>
    <w:p w14:paraId="5EAF3BB4" w14:textId="77777777" w:rsidR="007F030F" w:rsidRPr="00676E15" w:rsidRDefault="007F030F" w:rsidP="007F030F">
      <w:p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p>
    <w:sectPr w:rsidR="007F030F" w:rsidRPr="00676E15" w:rsidSect="00C74C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500F1"/>
    <w:multiLevelType w:val="multilevel"/>
    <w:tmpl w:val="839C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7925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0DB"/>
    <w:rsid w:val="000A70DB"/>
    <w:rsid w:val="001C07B6"/>
    <w:rsid w:val="001E616F"/>
    <w:rsid w:val="00327C2C"/>
    <w:rsid w:val="00424DC8"/>
    <w:rsid w:val="0044679F"/>
    <w:rsid w:val="004A3B2D"/>
    <w:rsid w:val="00676E15"/>
    <w:rsid w:val="007F030F"/>
    <w:rsid w:val="00873677"/>
    <w:rsid w:val="008A4AFF"/>
    <w:rsid w:val="009C3CED"/>
    <w:rsid w:val="00AB2D79"/>
    <w:rsid w:val="00B67D0E"/>
    <w:rsid w:val="00C74C42"/>
    <w:rsid w:val="00D02B49"/>
    <w:rsid w:val="00E0341E"/>
    <w:rsid w:val="00EA11E6"/>
    <w:rsid w:val="00FA08D1"/>
    <w:rsid w:val="00FA7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B3754"/>
  <w15:chartTrackingRefBased/>
  <w15:docId w15:val="{9F3A9847-FD0F-4FD0-B4E5-77C9BBF3E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0DB"/>
  </w:style>
  <w:style w:type="paragraph" w:styleId="Heading1">
    <w:name w:val="heading 1"/>
    <w:basedOn w:val="Normal"/>
    <w:next w:val="Normal"/>
    <w:link w:val="Heading1Char"/>
    <w:uiPriority w:val="9"/>
    <w:qFormat/>
    <w:rsid w:val="000A70D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70D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70DB"/>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70D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70D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70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0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0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0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0D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70D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70D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70D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70D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70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0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0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0DB"/>
    <w:rPr>
      <w:rFonts w:eastAsiaTheme="majorEastAsia" w:cstheme="majorBidi"/>
      <w:color w:val="272727" w:themeColor="text1" w:themeTint="D8"/>
    </w:rPr>
  </w:style>
  <w:style w:type="paragraph" w:styleId="Title">
    <w:name w:val="Title"/>
    <w:basedOn w:val="Normal"/>
    <w:next w:val="Normal"/>
    <w:link w:val="TitleChar"/>
    <w:uiPriority w:val="10"/>
    <w:qFormat/>
    <w:rsid w:val="000A70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0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0D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0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0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70DB"/>
    <w:rPr>
      <w:i/>
      <w:iCs/>
      <w:color w:val="404040" w:themeColor="text1" w:themeTint="BF"/>
    </w:rPr>
  </w:style>
  <w:style w:type="paragraph" w:styleId="ListParagraph">
    <w:name w:val="List Paragraph"/>
    <w:basedOn w:val="Normal"/>
    <w:uiPriority w:val="34"/>
    <w:qFormat/>
    <w:rsid w:val="000A70DB"/>
    <w:pPr>
      <w:ind w:left="720"/>
      <w:contextualSpacing/>
    </w:pPr>
  </w:style>
  <w:style w:type="character" w:styleId="IntenseEmphasis">
    <w:name w:val="Intense Emphasis"/>
    <w:basedOn w:val="DefaultParagraphFont"/>
    <w:uiPriority w:val="21"/>
    <w:qFormat/>
    <w:rsid w:val="000A70DB"/>
    <w:rPr>
      <w:i/>
      <w:iCs/>
      <w:color w:val="365F91" w:themeColor="accent1" w:themeShade="BF"/>
    </w:rPr>
  </w:style>
  <w:style w:type="paragraph" w:styleId="IntenseQuote">
    <w:name w:val="Intense Quote"/>
    <w:basedOn w:val="Normal"/>
    <w:next w:val="Normal"/>
    <w:link w:val="IntenseQuoteChar"/>
    <w:uiPriority w:val="30"/>
    <w:qFormat/>
    <w:rsid w:val="000A70D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70DB"/>
    <w:rPr>
      <w:i/>
      <w:iCs/>
      <w:color w:val="365F91" w:themeColor="accent1" w:themeShade="BF"/>
    </w:rPr>
  </w:style>
  <w:style w:type="character" w:styleId="IntenseReference">
    <w:name w:val="Intense Reference"/>
    <w:basedOn w:val="DefaultParagraphFont"/>
    <w:uiPriority w:val="32"/>
    <w:qFormat/>
    <w:rsid w:val="000A70DB"/>
    <w:rPr>
      <w:b/>
      <w:bCs/>
      <w:smallCaps/>
      <w:color w:val="365F91" w:themeColor="accent1" w:themeShade="BF"/>
      <w:spacing w:val="5"/>
    </w:rPr>
  </w:style>
  <w:style w:type="character" w:styleId="Hyperlink">
    <w:name w:val="Hyperlink"/>
    <w:basedOn w:val="DefaultParagraphFont"/>
    <w:uiPriority w:val="99"/>
    <w:unhideWhenUsed/>
    <w:rsid w:val="00D02B49"/>
    <w:rPr>
      <w:color w:val="0000FF" w:themeColor="hyperlink"/>
      <w:u w:val="single"/>
    </w:rPr>
  </w:style>
  <w:style w:type="table" w:styleId="TableGrid">
    <w:name w:val="Table Grid"/>
    <w:basedOn w:val="TableNormal"/>
    <w:uiPriority w:val="59"/>
    <w:rsid w:val="00E03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34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97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hyperlink" Target="mailto:mittamidiresearch@gmail.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12</Pages>
  <Words>3484</Words>
  <Characters>19862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mittamedi madhu</dc:creator>
  <cp:keywords/>
  <dc:description/>
  <cp:lastModifiedBy>mittamedi madhu</cp:lastModifiedBy>
  <cp:revision>13</cp:revision>
  <cp:lastPrinted>2024-12-18T14:29:00Z</cp:lastPrinted>
  <dcterms:created xsi:type="dcterms:W3CDTF">2024-12-18T14:20:00Z</dcterms:created>
  <dcterms:modified xsi:type="dcterms:W3CDTF">2025-04-02T13:55:00Z</dcterms:modified>
</cp:coreProperties>
</file>