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Attachment 2 - Pricing Instructions</w:t>
      </w:r>
    </w:p>
    <w:p>
      <w:r>
        <w:t xml:space="preserve">Offerors shall price the base period and each option period separately using</w:t>
      </w:r>
    </w:p>
    <w:p>
      <w:r>
        <w:t xml:space="preserve">the labor categories in Table 1.</w:t>
      </w:r>
    </w:p>
    <w:p>
      <w:r>
        <w:t xml:space="preserve">Table 1: Technical Lead; Senior Full-Stack Developer; Data Engineer; QA Analyst.</w:t>
      </w:r>
    </w:p>
    <w:p>
      <w:r>
        <w:t xml:space="preserve">Quotes are due by the response date in the notice via email to the contracting</w:t>
      </w:r>
    </w:p>
    <w:p>
      <w:r>
        <w:t xml:space="preserve">officer. Questions are due 7 days before the response date.</w:t>
      </w:r>
    </w:p>
  </w:body>
</w:document>
</file>