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4657"/>
          <w:sz w:val="62"/>
        </w:rPr>
        <w:t>PROJECT SOUNDING LINE</w:t>
      </w:r>
    </w:p>
    <w:p>
      <w:pPr>
        <w:jc w:val="center"/>
      </w:pPr>
      <w:r>
        <w:rPr>
          <w:b/>
          <w:color w:val="68747B"/>
          <w:sz w:val="30"/>
        </w:rPr>
        <w:t>The Software Verification and Parallel Test Infrastructure System</w:t>
      </w:r>
    </w:p>
    <w:p>
      <w:pPr>
        <w:spacing w:before="400"/>
        <w:jc w:val="center"/>
      </w:pPr>
      <w:r>
        <w:rPr>
          <w:b/>
          <w:color w:val="B68B2D"/>
          <w:sz w:val="38"/>
        </w:rPr>
        <w:t>PART I</w:t>
      </w:r>
    </w:p>
    <w:p>
      <w:pPr>
        <w:jc w:val="center"/>
      </w:pPr>
      <w:r>
        <w:rPr>
          <w:rFonts w:ascii="Aptos Display" w:hAnsi="Aptos Display"/>
          <w:b/>
          <w:color w:val="174657"/>
          <w:sz w:val="50"/>
        </w:rPr>
        <w:t>Software Verification Architecture</w:t>
      </w:r>
    </w:p>
    <w:p>
      <w:pPr>
        <w:jc w:val="center"/>
      </w:pPr>
      <w:r>
        <w:rPr>
          <w:b/>
          <w:color w:val="2E7D7A"/>
          <w:sz w:val="26"/>
        </w:rPr>
        <w:t>Version 1.1 Amendment Edition</w:t>
      </w:r>
    </w:p>
    <w:tbl>
      <w:tblPr>
        <w:tblW w:type="auto" w:w="0"/>
        <w:jc w:val="center"/>
        <w:tblLayout w:type="fixed"/>
        <w:tblLook w:firstColumn="1" w:firstRow="1" w:lastColumn="0" w:lastRow="0" w:noHBand="0" w:noVBand="1" w:val="04A0"/>
      </w:tblPr>
      <w:tblGrid>
        <w:gridCol w:w="115"/>
        <w:gridCol w:w="9144"/>
      </w:tblGrid>
      <w:tr>
        <w:tc>
          <w:tcPr>
            <w:tcW w:type="dxa" w:w="5184"/>
            <w:shd w:fill="B68B2D"/>
            <w:tcMar>
              <w:top w:w="0" w:type="dxa"/>
              <w:start w:w="0" w:type="dxa"/>
              <w:bottom w:w="0" w:type="dxa"/>
              <w:end w:w="0" w:type="dxa"/>
            </w:tcMar>
          </w:tcPr>
          <w:p/>
        </w:tc>
        <w:tc>
          <w:tcPr>
            <w:tcW w:type="dxa" w:w="5184"/>
            <w:shd w:fill="F4EED8"/>
            <w:tcMar>
              <w:top w:w="110" w:type="dxa"/>
              <w:start w:w="150" w:type="dxa"/>
              <w:bottom w:w="110" w:type="dxa"/>
              <w:end w:w="150" w:type="dxa"/>
            </w:tcMar>
          </w:tcPr>
          <w:p>
            <w:r/>
            <w:r>
              <w:rPr>
                <w:rFonts w:ascii="Aptos Display" w:hAnsi="Aptos Display"/>
                <w:b/>
                <w:color w:val="174657"/>
                <w:sz w:val="22"/>
              </w:rPr>
              <w:t>Amendment purpose</w:t>
            </w:r>
          </w:p>
          <w:p>
            <w:r>
              <w:rPr>
                <w:rFonts w:ascii="Aptos" w:hAnsi="Aptos"/>
                <w:color w:val="2F3337"/>
                <w:sz w:val="18"/>
              </w:rPr>
              <w:t>Formalize semantic evidence invalidation, carry-forward evidence, failure-classification repair boundaries, environment-qualified evidence, and closure-confidence composition so a narrow repair or unrelated mainline advance does not force ritual re-execution of proof that remains valid.</w:t>
            </w:r>
          </w:p>
        </w:tc>
      </w:tr>
    </w:tbl>
    <w:p/>
    <w:p>
      <w:pPr>
        <w:jc w:val="center"/>
      </w:pPr>
      <w:r>
        <w:rPr>
          <w:color w:val="68747B"/>
          <w:sz w:val="18"/>
        </w:rPr>
        <w:t>Effective August 10, 2026  |  Document ID CS-SL-P1-001 v1.1</w:t>
      </w:r>
    </w:p>
    <w:p>
      <w:r>
        <w:br w:type="page"/>
      </w:r>
    </w:p>
    <w:p>
      <w:pPr>
        <w:pStyle w:val="Heading1"/>
        <w:pBdr>
          <w:bottom w:val="single" w:sz="18" w:space="4" w:color="2E7D7A"/>
        </w:pBdr>
      </w:pPr>
      <w:r>
        <w:rPr>
          <w:color w:val="174657"/>
        </w:rPr>
        <w:t>A. Document Control and Amendment Authority</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448"/>
            <w:vAlign w:val="top"/>
            <w:tcMar>
              <w:top w:w="80" w:type="dxa"/>
              <w:start w:w="100" w:type="dxa"/>
              <w:bottom w:w="80" w:type="dxa"/>
              <w:end w:w="100" w:type="dxa"/>
            </w:tcMar>
            <w:shd w:fill="174657"/>
          </w:tcPr>
          <w:p>
            <w:r/>
            <w:r>
              <w:rPr>
                <w:rFonts w:ascii="Aptos" w:hAnsi="Aptos"/>
                <w:b/>
                <w:color w:val="FFFFFF"/>
                <w:sz w:val="16"/>
              </w:rPr>
              <w:t>Field</w:t>
            </w:r>
          </w:p>
        </w:tc>
        <w:tc>
          <w:tcPr>
            <w:tcW w:type="dxa" w:w="6840"/>
            <w:vAlign w:val="top"/>
            <w:tcMar>
              <w:top w:w="80" w:type="dxa"/>
              <w:start w:w="100" w:type="dxa"/>
              <w:bottom w:w="80" w:type="dxa"/>
              <w:end w:w="100" w:type="dxa"/>
            </w:tcMar>
            <w:shd w:fill="174657"/>
          </w:tcPr>
          <w:p>
            <w:r/>
            <w:r>
              <w:rPr>
                <w:rFonts w:ascii="Aptos" w:hAnsi="Aptos"/>
                <w:b/>
                <w:color w:val="FFFFFF"/>
                <w:sz w:val="16"/>
              </w:rPr>
              <w:t>Value</w:t>
            </w:r>
          </w:p>
        </w:tc>
      </w:tr>
      <w:tr>
        <w:tc>
          <w:tcPr>
            <w:tcW w:type="dxa" w:w="2448"/>
            <w:vAlign w:val="top"/>
            <w:tcMar>
              <w:top w:w="80" w:type="dxa"/>
              <w:start w:w="100" w:type="dxa"/>
              <w:bottom w:w="80" w:type="dxa"/>
              <w:end w:w="100" w:type="dxa"/>
            </w:tcMar>
            <w:shd w:fill="FFFFFF"/>
          </w:tcPr>
          <w:p>
            <w:r/>
            <w:r>
              <w:rPr>
                <w:rFonts w:ascii="Aptos" w:hAnsi="Aptos"/>
                <w:b w:val="0"/>
                <w:color w:val="2F3337"/>
                <w:sz w:val="16"/>
              </w:rPr>
              <w:t>Program</w:t>
            </w:r>
          </w:p>
        </w:tc>
        <w:tc>
          <w:tcPr>
            <w:tcW w:type="dxa" w:w="6840"/>
            <w:vAlign w:val="top"/>
            <w:tcMar>
              <w:top w:w="80" w:type="dxa"/>
              <w:start w:w="100" w:type="dxa"/>
              <w:bottom w:w="80" w:type="dxa"/>
              <w:end w:w="100" w:type="dxa"/>
            </w:tcMar>
            <w:shd w:fill="FFFFFF"/>
          </w:tcPr>
          <w:p>
            <w:r/>
            <w:r>
              <w:rPr>
                <w:rFonts w:ascii="Aptos" w:hAnsi="Aptos"/>
                <w:b w:val="0"/>
                <w:color w:val="2F3337"/>
                <w:sz w:val="16"/>
              </w:rPr>
              <w:t>Project Sounding Line</w:t>
            </w:r>
          </w:p>
        </w:tc>
      </w:tr>
      <w:tr>
        <w:tc>
          <w:tcPr>
            <w:tcW w:type="dxa" w:w="2448"/>
            <w:vAlign w:val="top"/>
            <w:tcMar>
              <w:top w:w="80" w:type="dxa"/>
              <w:start w:w="100" w:type="dxa"/>
              <w:bottom w:w="80" w:type="dxa"/>
              <w:end w:w="100" w:type="dxa"/>
            </w:tcMar>
            <w:shd w:fill="F5F7F8"/>
          </w:tcPr>
          <w:p>
            <w:r/>
            <w:r>
              <w:rPr>
                <w:rFonts w:ascii="Aptos" w:hAnsi="Aptos"/>
                <w:b w:val="0"/>
                <w:color w:val="2F3337"/>
                <w:sz w:val="16"/>
              </w:rPr>
              <w:t>Subsystem</w:t>
            </w:r>
          </w:p>
        </w:tc>
        <w:tc>
          <w:tcPr>
            <w:tcW w:type="dxa" w:w="6840"/>
            <w:vAlign w:val="top"/>
            <w:tcMar>
              <w:top w:w="80" w:type="dxa"/>
              <w:start w:w="100" w:type="dxa"/>
              <w:bottom w:w="80" w:type="dxa"/>
              <w:end w:w="100" w:type="dxa"/>
            </w:tcMar>
            <w:shd w:fill="F5F7F8"/>
          </w:tcPr>
          <w:p>
            <w:r/>
            <w:r>
              <w:rPr>
                <w:rFonts w:ascii="Aptos" w:hAnsi="Aptos"/>
                <w:b w:val="0"/>
                <w:color w:val="2F3337"/>
                <w:sz w:val="16"/>
              </w:rPr>
              <w:t>The Software Verification and Parallel Test Infrastructure System</w:t>
            </w:r>
          </w:p>
        </w:tc>
      </w:tr>
      <w:tr>
        <w:tc>
          <w:tcPr>
            <w:tcW w:type="dxa" w:w="2448"/>
            <w:vAlign w:val="top"/>
            <w:tcMar>
              <w:top w:w="80" w:type="dxa"/>
              <w:start w:w="100" w:type="dxa"/>
              <w:bottom w:w="80" w:type="dxa"/>
              <w:end w:w="100" w:type="dxa"/>
            </w:tcMar>
            <w:shd w:fill="FFFFFF"/>
          </w:tcPr>
          <w:p>
            <w:r/>
            <w:r>
              <w:rPr>
                <w:rFonts w:ascii="Aptos" w:hAnsi="Aptos"/>
                <w:b w:val="0"/>
                <w:color w:val="2F3337"/>
                <w:sz w:val="16"/>
              </w:rPr>
              <w:t>Document</w:t>
            </w:r>
          </w:p>
        </w:tc>
        <w:tc>
          <w:tcPr>
            <w:tcW w:type="dxa" w:w="6840"/>
            <w:vAlign w:val="top"/>
            <w:tcMar>
              <w:top w:w="80" w:type="dxa"/>
              <w:start w:w="100" w:type="dxa"/>
              <w:bottom w:w="80" w:type="dxa"/>
              <w:end w:w="100" w:type="dxa"/>
            </w:tcMar>
            <w:shd w:fill="FFFFFF"/>
          </w:tcPr>
          <w:p>
            <w:r/>
            <w:r>
              <w:rPr>
                <w:rFonts w:ascii="Aptos" w:hAnsi="Aptos"/>
                <w:b w:val="0"/>
                <w:color w:val="2F3337"/>
                <w:sz w:val="16"/>
              </w:rPr>
              <w:t>Governing Architecture and Product Requirements Document - Part I, Version 1.1 Amendment Edition</w:t>
            </w:r>
          </w:p>
        </w:tc>
      </w:tr>
      <w:tr>
        <w:tc>
          <w:tcPr>
            <w:tcW w:type="dxa" w:w="2448"/>
            <w:vAlign w:val="top"/>
            <w:tcMar>
              <w:top w:w="80" w:type="dxa"/>
              <w:start w:w="100" w:type="dxa"/>
              <w:bottom w:w="80" w:type="dxa"/>
              <w:end w:w="100" w:type="dxa"/>
            </w:tcMar>
            <w:shd w:fill="F5F7F8"/>
          </w:tcPr>
          <w:p>
            <w:r/>
            <w:r>
              <w:rPr>
                <w:rFonts w:ascii="Aptos" w:hAnsi="Aptos"/>
                <w:b w:val="0"/>
                <w:color w:val="2F3337"/>
                <w:sz w:val="16"/>
              </w:rPr>
              <w:t>Base document</w:t>
            </w:r>
          </w:p>
        </w:tc>
        <w:tc>
          <w:tcPr>
            <w:tcW w:type="dxa" w:w="6840"/>
            <w:vAlign w:val="top"/>
            <w:tcMar>
              <w:top w:w="80" w:type="dxa"/>
              <w:start w:w="100" w:type="dxa"/>
              <w:bottom w:w="80" w:type="dxa"/>
              <w:end w:w="100" w:type="dxa"/>
            </w:tcMar>
            <w:shd w:fill="F5F7F8"/>
          </w:tcPr>
          <w:p>
            <w:r/>
            <w:r>
              <w:rPr>
                <w:rFonts w:ascii="Aptos" w:hAnsi="Aptos"/>
                <w:b w:val="0"/>
                <w:color w:val="2F3337"/>
                <w:sz w:val="16"/>
              </w:rPr>
              <w:t>Version 1.0, July 28, 2026</w:t>
            </w:r>
          </w:p>
        </w:tc>
      </w:tr>
      <w:tr>
        <w:tc>
          <w:tcPr>
            <w:tcW w:type="dxa" w:w="2448"/>
            <w:vAlign w:val="top"/>
            <w:tcMar>
              <w:top w:w="80" w:type="dxa"/>
              <w:start w:w="100" w:type="dxa"/>
              <w:bottom w:w="80" w:type="dxa"/>
              <w:end w:w="100" w:type="dxa"/>
            </w:tcMar>
            <w:shd w:fill="FFFFFF"/>
          </w:tcPr>
          <w:p>
            <w:r/>
            <w:r>
              <w:rPr>
                <w:rFonts w:ascii="Aptos" w:hAnsi="Aptos"/>
                <w:b w:val="0"/>
                <w:color w:val="2F3337"/>
                <w:sz w:val="16"/>
              </w:rPr>
              <w:t>Version</w:t>
            </w:r>
          </w:p>
        </w:tc>
        <w:tc>
          <w:tcPr>
            <w:tcW w:type="dxa" w:w="6840"/>
            <w:vAlign w:val="top"/>
            <w:tcMar>
              <w:top w:w="80" w:type="dxa"/>
              <w:start w:w="100" w:type="dxa"/>
              <w:bottom w:w="80" w:type="dxa"/>
              <w:end w:w="100" w:type="dxa"/>
            </w:tcMar>
            <w:shd w:fill="FFFFFF"/>
          </w:tcPr>
          <w:p>
            <w:r/>
            <w:r>
              <w:rPr>
                <w:rFonts w:ascii="Aptos" w:hAnsi="Aptos"/>
                <w:b w:val="0"/>
                <w:color w:val="2F3337"/>
                <w:sz w:val="16"/>
              </w:rPr>
              <w:t>1.1</w:t>
            </w:r>
          </w:p>
        </w:tc>
      </w:tr>
      <w:tr>
        <w:tc>
          <w:tcPr>
            <w:tcW w:type="dxa" w:w="2448"/>
            <w:vAlign w:val="top"/>
            <w:tcMar>
              <w:top w:w="80" w:type="dxa"/>
              <w:start w:w="100" w:type="dxa"/>
              <w:bottom w:w="80" w:type="dxa"/>
              <w:end w:w="100" w:type="dxa"/>
            </w:tcMar>
            <w:shd w:fill="F5F7F8"/>
          </w:tcPr>
          <w:p>
            <w:r/>
            <w:r>
              <w:rPr>
                <w:rFonts w:ascii="Aptos" w:hAnsi="Aptos"/>
                <w:b w:val="0"/>
                <w:color w:val="2F3337"/>
                <w:sz w:val="16"/>
              </w:rPr>
              <w:t>Effective date</w:t>
            </w:r>
          </w:p>
        </w:tc>
        <w:tc>
          <w:tcPr>
            <w:tcW w:type="dxa" w:w="6840"/>
            <w:vAlign w:val="top"/>
            <w:tcMar>
              <w:top w:w="80" w:type="dxa"/>
              <w:start w:w="100" w:type="dxa"/>
              <w:bottom w:w="80" w:type="dxa"/>
              <w:end w:w="100" w:type="dxa"/>
            </w:tcMar>
            <w:shd w:fill="F5F7F8"/>
          </w:tcPr>
          <w:p>
            <w:r/>
            <w:r>
              <w:rPr>
                <w:rFonts w:ascii="Aptos" w:hAnsi="Aptos"/>
                <w:b w:val="0"/>
                <w:color w:val="2F3337"/>
                <w:sz w:val="16"/>
              </w:rPr>
              <w:t>August 10, 2026</w:t>
            </w:r>
          </w:p>
        </w:tc>
      </w:tr>
      <w:tr>
        <w:tc>
          <w:tcPr>
            <w:tcW w:type="dxa" w:w="2448"/>
            <w:vAlign w:val="top"/>
            <w:tcMar>
              <w:top w:w="80" w:type="dxa"/>
              <w:start w:w="100" w:type="dxa"/>
              <w:bottom w:w="80" w:type="dxa"/>
              <w:end w:w="100" w:type="dxa"/>
            </w:tcMar>
            <w:shd w:fill="FFFFFF"/>
          </w:tcPr>
          <w:p>
            <w:r/>
            <w:r>
              <w:rPr>
                <w:rFonts w:ascii="Aptos" w:hAnsi="Aptos"/>
                <w:b w:val="0"/>
                <w:color w:val="2F3337"/>
                <w:sz w:val="16"/>
              </w:rPr>
              <w:t>Document ID</w:t>
            </w:r>
          </w:p>
        </w:tc>
        <w:tc>
          <w:tcPr>
            <w:tcW w:type="dxa" w:w="6840"/>
            <w:vAlign w:val="top"/>
            <w:tcMar>
              <w:top w:w="80" w:type="dxa"/>
              <w:start w:w="100" w:type="dxa"/>
              <w:bottom w:w="80" w:type="dxa"/>
              <w:end w:w="100" w:type="dxa"/>
            </w:tcMar>
            <w:shd w:fill="FFFFFF"/>
          </w:tcPr>
          <w:p>
            <w:r/>
            <w:r>
              <w:rPr>
                <w:rFonts w:ascii="Aptos" w:hAnsi="Aptos"/>
                <w:b w:val="0"/>
                <w:color w:val="2F3337"/>
                <w:sz w:val="16"/>
              </w:rPr>
              <w:t>CS-SL-P1-001 v1.1</w:t>
            </w:r>
          </w:p>
        </w:tc>
      </w:tr>
      <w:tr>
        <w:tc>
          <w:tcPr>
            <w:tcW w:type="dxa" w:w="2448"/>
            <w:vAlign w:val="top"/>
            <w:tcMar>
              <w:top w:w="80" w:type="dxa"/>
              <w:start w:w="100" w:type="dxa"/>
              <w:bottom w:w="80" w:type="dxa"/>
              <w:end w:w="100" w:type="dxa"/>
            </w:tcMar>
            <w:shd w:fill="F5F7F8"/>
          </w:tcPr>
          <w:p>
            <w:r/>
            <w:r>
              <w:rPr>
                <w:rFonts w:ascii="Aptos" w:hAnsi="Aptos"/>
                <w:b w:val="0"/>
                <w:color w:val="2F3337"/>
                <w:sz w:val="16"/>
              </w:rPr>
              <w:t>Status</w:t>
            </w:r>
          </w:p>
        </w:tc>
        <w:tc>
          <w:tcPr>
            <w:tcW w:type="dxa" w:w="6840"/>
            <w:vAlign w:val="top"/>
            <w:tcMar>
              <w:top w:w="80" w:type="dxa"/>
              <w:start w:w="100" w:type="dxa"/>
              <w:bottom w:w="80" w:type="dxa"/>
              <w:end w:w="100" w:type="dxa"/>
            </w:tcMar>
            <w:shd w:fill="F5F7F8"/>
          </w:tcPr>
          <w:p>
            <w:r/>
            <w:r>
              <w:rPr>
                <w:rFonts w:ascii="Aptos" w:hAnsi="Aptos"/>
                <w:b w:val="0"/>
                <w:color w:val="2F3337"/>
                <w:sz w:val="16"/>
              </w:rPr>
              <w:t>Governing amendment; additive and superseding only where clauses are explicitly named</w:t>
            </w:r>
          </w:p>
        </w:tc>
      </w:tr>
      <w:tr>
        <w:tc>
          <w:tcPr>
            <w:tcW w:type="dxa" w:w="2448"/>
            <w:vAlign w:val="top"/>
            <w:tcMar>
              <w:top w:w="80" w:type="dxa"/>
              <w:start w:w="100" w:type="dxa"/>
              <w:bottom w:w="80" w:type="dxa"/>
              <w:end w:w="100" w:type="dxa"/>
            </w:tcMar>
            <w:shd w:fill="FFFFFF"/>
          </w:tcPr>
          <w:p>
            <w:r/>
            <w:r>
              <w:rPr>
                <w:rFonts w:ascii="Aptos" w:hAnsi="Aptos"/>
                <w:b w:val="0"/>
                <w:color w:val="2F3337"/>
                <w:sz w:val="16"/>
              </w:rPr>
              <w:t>Amendment trigger</w:t>
            </w:r>
          </w:p>
        </w:tc>
        <w:tc>
          <w:tcPr>
            <w:tcW w:type="dxa" w:w="6840"/>
            <w:vAlign w:val="top"/>
            <w:tcMar>
              <w:top w:w="80" w:type="dxa"/>
              <w:start w:w="100" w:type="dxa"/>
              <w:bottom w:w="80" w:type="dxa"/>
              <w:end w:w="100" w:type="dxa"/>
            </w:tcMar>
            <w:shd w:fill="FFFFFF"/>
          </w:tcPr>
          <w:p>
            <w:r/>
            <w:r>
              <w:rPr>
                <w:rFonts w:ascii="Aptos" w:hAnsi="Aptos"/>
                <w:b w:val="0"/>
                <w:color w:val="2F3337"/>
                <w:sz w:val="16"/>
              </w:rPr>
              <w:t>Project Helm Phase 1 closure and repeated cross-project validation/integration churn exposed gaps between intended evidence reuse and operational behavior.</w:t>
            </w:r>
          </w:p>
        </w:tc>
      </w:tr>
    </w:tbl>
    <w:p/>
    <w:tbl>
      <w:tblPr>
        <w:tblW w:type="auto" w:w="0"/>
        <w:jc w:val="center"/>
        <w:tblLayout w:type="fixed"/>
        <w:tblLook w:firstColumn="1" w:firstRow="1" w:lastColumn="0" w:lastRow="0" w:noHBand="0" w:noVBand="1" w:val="04A0"/>
      </w:tblPr>
      <w:tblGrid>
        <w:gridCol w:w="115"/>
        <w:gridCol w:w="9144"/>
      </w:tblGrid>
      <w:tr>
        <w:tc>
          <w:tcPr>
            <w:tcW w:type="dxa" w:w="5184"/>
            <w:shd w:fill="2E7D7A"/>
            <w:tcMar>
              <w:top w:w="0" w:type="dxa"/>
              <w:start w:w="0" w:type="dxa"/>
              <w:bottom w:w="0" w:type="dxa"/>
              <w:end w:w="0" w:type="dxa"/>
            </w:tcMar>
          </w:tcPr>
          <w:p/>
        </w:tc>
        <w:tc>
          <w:tcPr>
            <w:tcW w:type="dxa" w:w="5184"/>
            <w:shd w:fill="E8F2F1"/>
            <w:tcMar>
              <w:top w:w="110" w:type="dxa"/>
              <w:start w:w="150" w:type="dxa"/>
              <w:bottom w:w="110" w:type="dxa"/>
              <w:end w:w="150" w:type="dxa"/>
            </w:tcMar>
          </w:tcPr>
          <w:p>
            <w:r/>
            <w:r>
              <w:rPr>
                <w:rFonts w:ascii="Aptos Display" w:hAnsi="Aptos Display"/>
                <w:b/>
                <w:color w:val="174657"/>
                <w:sz w:val="22"/>
              </w:rPr>
              <w:t>Normative incorporation rule</w:t>
            </w:r>
          </w:p>
          <w:p>
            <w:r>
              <w:rPr>
                <w:rFonts w:ascii="Aptos" w:hAnsi="Aptos"/>
                <w:color w:val="2F3337"/>
                <w:sz w:val="18"/>
              </w:rPr>
              <w:t>The Version 1.0 body remains in force in full except where this Version 1.1 amendment explicitly adds, clarifies, or supersedes a clause. This amendment must never be read as permission to weaken required proof. Its purpose is to preserve correctness while preventing redundant proof, avoidable serialization, and closure loops that do not increase confidence.</w:t>
            </w:r>
          </w:p>
        </w:tc>
      </w:tr>
    </w:tbl>
    <w:p/>
    <w:p>
      <w:pPr>
        <w:pStyle w:val="Body"/>
      </w:pPr>
      <w:r>
        <w:t>This amendment is deliberately narrow. It does not change the three-document authority split: Part I defines verification meaning, Part II defines execution machinery, and Part III defines repository/Codex/release enforcement.</w:t>
      </w:r>
    </w:p>
    <w:p>
      <w:r>
        <w:br w:type="page"/>
      </w:r>
    </w:p>
    <w:p>
      <w:pPr>
        <w:pStyle w:val="Heading1"/>
        <w:pBdr>
          <w:bottom w:val="single" w:sz="18" w:space="4" w:color="2E7D7A"/>
        </w:pBdr>
      </w:pPr>
      <w:r>
        <w:rPr>
          <w:color w:val="174657"/>
        </w:rPr>
        <w:t>1. Amendment Summary and Supersession Map</w:t>
      </w:r>
    </w:p>
    <w:p>
      <w:pPr>
        <w:pStyle w:val="Body"/>
      </w:pPr>
      <w:r>
        <w:t>Version 1.0 already promised to preserve valid evidence after narrow repairs, distinguish product/test/environment/infrastructure failures, and use impact planning rather than repeated monolithic gates. Version 1.1 converts those principles into explicit normative mechanics.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880"/>
            <w:vAlign w:val="top"/>
            <w:tcMar>
              <w:top w:w="80" w:type="dxa"/>
              <w:start w:w="100" w:type="dxa"/>
              <w:bottom w:w="80" w:type="dxa"/>
              <w:end w:w="100" w:type="dxa"/>
            </w:tcMar>
            <w:shd w:fill="174657"/>
          </w:tcPr>
          <w:p>
            <w:r/>
            <w:r>
              <w:rPr>
                <w:rFonts w:ascii="Aptos" w:hAnsi="Aptos"/>
                <w:b/>
                <w:color w:val="FFFFFF"/>
                <w:sz w:val="16"/>
              </w:rPr>
              <w:t>v1.0 area</w:t>
            </w:r>
          </w:p>
        </w:tc>
        <w:tc>
          <w:tcPr>
            <w:tcW w:type="dxa" w:w="6408"/>
            <w:vAlign w:val="top"/>
            <w:tcMar>
              <w:top w:w="80" w:type="dxa"/>
              <w:start w:w="100" w:type="dxa"/>
              <w:bottom w:w="80" w:type="dxa"/>
              <w:end w:w="100" w:type="dxa"/>
            </w:tcMar>
            <w:shd w:fill="174657"/>
          </w:tcPr>
          <w:p>
            <w:r/>
            <w:r>
              <w:rPr>
                <w:rFonts w:ascii="Aptos" w:hAnsi="Aptos"/>
                <w:b/>
                <w:color w:val="FFFFFF"/>
                <w:sz w:val="16"/>
              </w:rPr>
              <w:t>v1.1 amendment</w:t>
            </w:r>
          </w:p>
        </w:tc>
      </w:tr>
      <w:tr>
        <w:tc>
          <w:tcPr>
            <w:tcW w:type="dxa" w:w="2880"/>
            <w:vAlign w:val="top"/>
            <w:tcMar>
              <w:top w:w="80" w:type="dxa"/>
              <w:start w:w="100" w:type="dxa"/>
              <w:bottom w:w="80" w:type="dxa"/>
              <w:end w:w="100" w:type="dxa"/>
            </w:tcMar>
            <w:shd w:fill="FFFFFF"/>
          </w:tcPr>
          <w:p>
            <w:r/>
            <w:r>
              <w:rPr>
                <w:rFonts w:ascii="Aptos" w:hAnsi="Aptos"/>
                <w:b w:val="0"/>
                <w:color w:val="2F3337"/>
                <w:sz w:val="16"/>
              </w:rPr>
              <w:t>1.2 Verification Promise</w:t>
            </w:r>
          </w:p>
        </w:tc>
        <w:tc>
          <w:tcPr>
            <w:tcW w:type="dxa" w:w="6408"/>
            <w:vAlign w:val="top"/>
            <w:tcMar>
              <w:top w:w="80" w:type="dxa"/>
              <w:start w:w="100" w:type="dxa"/>
              <w:bottom w:w="80" w:type="dxa"/>
              <w:end w:w="100" w:type="dxa"/>
            </w:tcMar>
            <w:shd w:fill="FFFFFF"/>
          </w:tcPr>
          <w:p>
            <w:r/>
            <w:r>
              <w:rPr>
                <w:rFonts w:ascii="Aptos" w:hAnsi="Aptos"/>
                <w:b w:val="0"/>
                <w:color w:val="2F3337"/>
                <w:sz w:val="16"/>
              </w:rPr>
              <w:t>Adds mandatory semantic invalidation and carry-forward; preservation is no longer advisory language.</w:t>
            </w:r>
          </w:p>
        </w:tc>
      </w:tr>
      <w:tr>
        <w:tc>
          <w:tcPr>
            <w:tcW w:type="dxa" w:w="2880"/>
            <w:vAlign w:val="top"/>
            <w:tcMar>
              <w:top w:w="80" w:type="dxa"/>
              <w:start w:w="100" w:type="dxa"/>
              <w:bottom w:w="80" w:type="dxa"/>
              <w:end w:w="100" w:type="dxa"/>
            </w:tcMar>
            <w:shd w:fill="F5F7F8"/>
          </w:tcPr>
          <w:p>
            <w:r/>
            <w:r>
              <w:rPr>
                <w:rFonts w:ascii="Aptos" w:hAnsi="Aptos"/>
                <w:b w:val="0"/>
                <w:color w:val="2F3337"/>
                <w:sz w:val="16"/>
              </w:rPr>
              <w:t>4 Core Domain</w:t>
            </w:r>
          </w:p>
        </w:tc>
        <w:tc>
          <w:tcPr>
            <w:tcW w:type="dxa" w:w="6408"/>
            <w:vAlign w:val="top"/>
            <w:tcMar>
              <w:top w:w="80" w:type="dxa"/>
              <w:start w:w="100" w:type="dxa"/>
              <w:bottom w:w="80" w:type="dxa"/>
              <w:end w:w="100" w:type="dxa"/>
            </w:tcMar>
            <w:shd w:fill="F5F7F8"/>
          </w:tcPr>
          <w:p>
            <w:r/>
            <w:r>
              <w:rPr>
                <w:rFonts w:ascii="Aptos" w:hAnsi="Aptos"/>
                <w:b w:val="0"/>
                <w:color w:val="2F3337"/>
                <w:sz w:val="16"/>
              </w:rPr>
              <w:t>Adds evidence-disposition and closure-confidence vocabulary.</w:t>
            </w:r>
          </w:p>
        </w:tc>
      </w:tr>
      <w:tr>
        <w:tc>
          <w:tcPr>
            <w:tcW w:type="dxa" w:w="2880"/>
            <w:vAlign w:val="top"/>
            <w:tcMar>
              <w:top w:w="80" w:type="dxa"/>
              <w:start w:w="100" w:type="dxa"/>
              <w:bottom w:w="80" w:type="dxa"/>
              <w:end w:w="100" w:type="dxa"/>
            </w:tcMar>
            <w:shd w:fill="FFFFFF"/>
          </w:tcPr>
          <w:p>
            <w:r/>
            <w:r>
              <w:rPr>
                <w:rFonts w:ascii="Aptos" w:hAnsi="Aptos"/>
                <w:b w:val="0"/>
                <w:color w:val="2F3337"/>
                <w:sz w:val="16"/>
              </w:rPr>
              <w:t>5 Design Principles</w:t>
            </w:r>
          </w:p>
        </w:tc>
        <w:tc>
          <w:tcPr>
            <w:tcW w:type="dxa" w:w="6408"/>
            <w:vAlign w:val="top"/>
            <w:tcMar>
              <w:top w:w="80" w:type="dxa"/>
              <w:start w:w="100" w:type="dxa"/>
              <w:bottom w:w="80" w:type="dxa"/>
              <w:end w:w="100" w:type="dxa"/>
            </w:tcMar>
            <w:shd w:fill="FFFFFF"/>
          </w:tcPr>
          <w:p>
            <w:r/>
            <w:r>
              <w:rPr>
                <w:rFonts w:ascii="Aptos" w:hAnsi="Aptos"/>
                <w:b w:val="0"/>
                <w:color w:val="2F3337"/>
                <w:sz w:val="16"/>
              </w:rPr>
              <w:t>Adds smallest correct revalidation boundary and proof-preservation requirement.</w:t>
            </w:r>
          </w:p>
        </w:tc>
      </w:tr>
      <w:tr>
        <w:tc>
          <w:tcPr>
            <w:tcW w:type="dxa" w:w="2880"/>
            <w:vAlign w:val="top"/>
            <w:tcMar>
              <w:top w:w="80" w:type="dxa"/>
              <w:start w:w="100" w:type="dxa"/>
              <w:bottom w:w="80" w:type="dxa"/>
              <w:end w:w="100" w:type="dxa"/>
            </w:tcMar>
            <w:shd w:fill="F5F7F8"/>
          </w:tcPr>
          <w:p>
            <w:r/>
            <w:r>
              <w:rPr>
                <w:rFonts w:ascii="Aptos" w:hAnsi="Aptos"/>
                <w:b w:val="0"/>
                <w:color w:val="2F3337"/>
                <w:sz w:val="16"/>
              </w:rPr>
              <w:t>14 Test Impact Analysis</w:t>
            </w:r>
          </w:p>
        </w:tc>
        <w:tc>
          <w:tcPr>
            <w:tcW w:type="dxa" w:w="6408"/>
            <w:vAlign w:val="top"/>
            <w:tcMar>
              <w:top w:w="80" w:type="dxa"/>
              <w:start w:w="100" w:type="dxa"/>
              <w:bottom w:w="80" w:type="dxa"/>
              <w:end w:w="100" w:type="dxa"/>
            </w:tcMar>
            <w:shd w:fill="F5F7F8"/>
          </w:tcPr>
          <w:p>
            <w:r/>
            <w:r>
              <w:rPr>
                <w:rFonts w:ascii="Aptos" w:hAnsi="Aptos"/>
                <w:b w:val="0"/>
                <w:color w:val="2F3337"/>
                <w:sz w:val="16"/>
              </w:rPr>
              <w:t>Adds inverse impact analysis: what existing evidence remains valid after a change.</w:t>
            </w:r>
          </w:p>
        </w:tc>
      </w:tr>
      <w:tr>
        <w:tc>
          <w:tcPr>
            <w:tcW w:type="dxa" w:w="2880"/>
            <w:vAlign w:val="top"/>
            <w:tcMar>
              <w:top w:w="80" w:type="dxa"/>
              <w:start w:w="100" w:type="dxa"/>
              <w:bottom w:w="80" w:type="dxa"/>
              <w:end w:w="100" w:type="dxa"/>
            </w:tcMar>
            <w:shd w:fill="FFFFFF"/>
          </w:tcPr>
          <w:p>
            <w:r/>
            <w:r>
              <w:rPr>
                <w:rFonts w:ascii="Aptos" w:hAnsi="Aptos"/>
                <w:b w:val="0"/>
                <w:color w:val="2F3337"/>
                <w:sz w:val="16"/>
              </w:rPr>
              <w:t>16 Status Language</w:t>
            </w:r>
          </w:p>
        </w:tc>
        <w:tc>
          <w:tcPr>
            <w:tcW w:type="dxa" w:w="6408"/>
            <w:vAlign w:val="top"/>
            <w:tcMar>
              <w:top w:w="80" w:type="dxa"/>
              <w:start w:w="100" w:type="dxa"/>
              <w:bottom w:w="80" w:type="dxa"/>
              <w:end w:w="100" w:type="dxa"/>
            </w:tcMar>
            <w:shd w:fill="FFFFFF"/>
          </w:tcPr>
          <w:p>
            <w:r/>
            <w:r>
              <w:rPr>
                <w:rFonts w:ascii="Aptos" w:hAnsi="Aptos"/>
                <w:b w:val="0"/>
                <w:color w:val="2F3337"/>
                <w:sz w:val="16"/>
              </w:rPr>
              <w:t>Adds evidence-preserved/rebound statuses and environment-qualified evidence.</w:t>
            </w:r>
          </w:p>
        </w:tc>
      </w:tr>
      <w:tr>
        <w:tc>
          <w:tcPr>
            <w:tcW w:type="dxa" w:w="2880"/>
            <w:vAlign w:val="top"/>
            <w:tcMar>
              <w:top w:w="80" w:type="dxa"/>
              <w:start w:w="100" w:type="dxa"/>
              <w:bottom w:w="80" w:type="dxa"/>
              <w:end w:w="100" w:type="dxa"/>
            </w:tcMar>
            <w:shd w:fill="F5F7F8"/>
          </w:tcPr>
          <w:p>
            <w:r/>
            <w:r>
              <w:rPr>
                <w:rFonts w:ascii="Aptos" w:hAnsi="Aptos"/>
                <w:b w:val="0"/>
                <w:color w:val="2F3337"/>
                <w:sz w:val="16"/>
              </w:rPr>
              <w:t>17 Failure Classification</w:t>
            </w:r>
          </w:p>
        </w:tc>
        <w:tc>
          <w:tcPr>
            <w:tcW w:type="dxa" w:w="6408"/>
            <w:vAlign w:val="top"/>
            <w:tcMar>
              <w:top w:w="80" w:type="dxa"/>
              <w:start w:w="100" w:type="dxa"/>
              <w:bottom w:w="80" w:type="dxa"/>
              <w:end w:w="100" w:type="dxa"/>
            </w:tcMar>
            <w:shd w:fill="F5F7F8"/>
          </w:tcPr>
          <w:p>
            <w:r/>
            <w:r>
              <w:rPr>
                <w:rFonts w:ascii="Aptos" w:hAnsi="Aptos"/>
                <w:b w:val="0"/>
                <w:color w:val="2F3337"/>
                <w:sz w:val="16"/>
              </w:rPr>
              <w:t>Binds each failure class to the legal repair scope.</w:t>
            </w:r>
          </w:p>
        </w:tc>
      </w:tr>
      <w:tr>
        <w:tc>
          <w:tcPr>
            <w:tcW w:type="dxa" w:w="2880"/>
            <w:vAlign w:val="top"/>
            <w:tcMar>
              <w:top w:w="80" w:type="dxa"/>
              <w:start w:w="100" w:type="dxa"/>
              <w:bottom w:w="80" w:type="dxa"/>
              <w:end w:w="100" w:type="dxa"/>
            </w:tcMar>
            <w:shd w:fill="FFFFFF"/>
          </w:tcPr>
          <w:p>
            <w:r/>
            <w:r>
              <w:rPr>
                <w:rFonts w:ascii="Aptos" w:hAnsi="Aptos"/>
                <w:b w:val="0"/>
                <w:color w:val="2F3337"/>
                <w:sz w:val="16"/>
              </w:rPr>
              <w:t>19 Evidence Architecture</w:t>
            </w:r>
          </w:p>
        </w:tc>
        <w:tc>
          <w:tcPr>
            <w:tcW w:type="dxa" w:w="6408"/>
            <w:vAlign w:val="top"/>
            <w:tcMar>
              <w:top w:w="80" w:type="dxa"/>
              <w:start w:w="100" w:type="dxa"/>
              <w:bottom w:w="80" w:type="dxa"/>
              <w:end w:w="100" w:type="dxa"/>
            </w:tcMar>
            <w:shd w:fill="FFFFFF"/>
          </w:tcPr>
          <w:p>
            <w:r/>
            <w:r>
              <w:rPr>
                <w:rFonts w:ascii="Aptos" w:hAnsi="Aptos"/>
                <w:b w:val="0"/>
                <w:color w:val="2F3337"/>
                <w:sz w:val="16"/>
              </w:rPr>
              <w:t>Adds immutable carry-forward receipts and rebinding manifests.</w:t>
            </w:r>
          </w:p>
        </w:tc>
      </w:tr>
      <w:tr>
        <w:tc>
          <w:tcPr>
            <w:tcW w:type="dxa" w:w="2880"/>
            <w:vAlign w:val="top"/>
            <w:tcMar>
              <w:top w:w="80" w:type="dxa"/>
              <w:start w:w="100" w:type="dxa"/>
              <w:bottom w:w="80" w:type="dxa"/>
              <w:end w:w="100" w:type="dxa"/>
            </w:tcMar>
            <w:shd w:fill="F5F7F8"/>
          </w:tcPr>
          <w:p>
            <w:r/>
            <w:r>
              <w:rPr>
                <w:rFonts w:ascii="Aptos" w:hAnsi="Aptos"/>
                <w:b w:val="0"/>
                <w:color w:val="2F3337"/>
                <w:sz w:val="16"/>
              </w:rPr>
              <w:t>20 Release Confidence</w:t>
            </w:r>
          </w:p>
        </w:tc>
        <w:tc>
          <w:tcPr>
            <w:tcW w:type="dxa" w:w="6408"/>
            <w:vAlign w:val="top"/>
            <w:tcMar>
              <w:top w:w="80" w:type="dxa"/>
              <w:start w:w="100" w:type="dxa"/>
              <w:bottom w:w="80" w:type="dxa"/>
              <w:end w:w="100" w:type="dxa"/>
            </w:tcMar>
            <w:shd w:fill="F5F7F8"/>
          </w:tcPr>
          <w:p>
            <w:r/>
            <w:r>
              <w:rPr>
                <w:rFonts w:ascii="Aptos" w:hAnsi="Aptos"/>
                <w:b w:val="0"/>
                <w:color w:val="2F3337"/>
                <w:sz w:val="16"/>
              </w:rPr>
              <w:t>Permits confidence composition from preserved + fresh evidence.</w:t>
            </w:r>
          </w:p>
        </w:tc>
      </w:tr>
      <w:tr>
        <w:tc>
          <w:tcPr>
            <w:tcW w:type="dxa" w:w="2880"/>
            <w:vAlign w:val="top"/>
            <w:tcMar>
              <w:top w:w="80" w:type="dxa"/>
              <w:start w:w="100" w:type="dxa"/>
              <w:bottom w:w="80" w:type="dxa"/>
              <w:end w:w="100" w:type="dxa"/>
            </w:tcMar>
            <w:shd w:fill="FFFFFF"/>
          </w:tcPr>
          <w:p>
            <w:r/>
            <w:r>
              <w:rPr>
                <w:rFonts w:ascii="Aptos" w:hAnsi="Aptos"/>
                <w:b w:val="0"/>
                <w:color w:val="2F3337"/>
                <w:sz w:val="16"/>
              </w:rPr>
              <w:t>25 Governance</w:t>
            </w:r>
          </w:p>
        </w:tc>
        <w:tc>
          <w:tcPr>
            <w:tcW w:type="dxa" w:w="6408"/>
            <w:vAlign w:val="top"/>
            <w:tcMar>
              <w:top w:w="80" w:type="dxa"/>
              <w:start w:w="100" w:type="dxa"/>
              <w:bottom w:w="80" w:type="dxa"/>
              <w:end w:w="100" w:type="dxa"/>
            </w:tcMar>
            <w:shd w:fill="FFFFFF"/>
          </w:tcPr>
          <w:p>
            <w:r/>
            <w:r>
              <w:rPr>
                <w:rFonts w:ascii="Aptos" w:hAnsi="Aptos"/>
                <w:b w:val="0"/>
                <w:color w:val="2F3337"/>
                <w:sz w:val="16"/>
              </w:rPr>
              <w:t>Adds excessive-revalidation metrics and review triggers.</w:t>
            </w:r>
          </w:p>
        </w:tc>
      </w:tr>
    </w:tbl>
    <w:p/>
    <w:tbl>
      <w:tblPr>
        <w:tblW w:type="auto" w:w="0"/>
        <w:jc w:val="center"/>
        <w:tblLayout w:type="fixed"/>
        <w:tblLook w:firstColumn="1" w:firstRow="1" w:lastColumn="0" w:lastRow="0" w:noHBand="0" w:noVBand="1" w:val="04A0"/>
      </w:tblPr>
      <w:tblGrid>
        <w:gridCol w:w="115"/>
        <w:gridCol w:w="9144"/>
      </w:tblGrid>
      <w:tr>
        <w:tc>
          <w:tcPr>
            <w:tcW w:type="dxa" w:w="5184"/>
            <w:shd w:fill="A8524A"/>
            <w:tcMar>
              <w:top w:w="0" w:type="dxa"/>
              <w:start w:w="0" w:type="dxa"/>
              <w:bottom w:w="0" w:type="dxa"/>
              <w:end w:w="0" w:type="dxa"/>
            </w:tcMar>
          </w:tcPr>
          <w:p/>
        </w:tc>
        <w:tc>
          <w:tcPr>
            <w:tcW w:type="dxa" w:w="5184"/>
            <w:shd w:fill="F7E7E5"/>
            <w:tcMar>
              <w:top w:w="110" w:type="dxa"/>
              <w:start w:w="150" w:type="dxa"/>
              <w:bottom w:w="110" w:type="dxa"/>
              <w:end w:w="150" w:type="dxa"/>
            </w:tcMar>
          </w:tcPr>
          <w:p>
            <w:r/>
            <w:r>
              <w:rPr>
                <w:rFonts w:ascii="Aptos Display" w:hAnsi="Aptos Display"/>
                <w:b/>
                <w:color w:val="174657"/>
                <w:sz w:val="22"/>
              </w:rPr>
              <w:t>Hard boundary</w:t>
            </w:r>
          </w:p>
          <w:p>
            <w:r>
              <w:rPr>
                <w:rFonts w:ascii="Aptos" w:hAnsi="Aptos"/>
                <w:color w:val="2F3337"/>
                <w:sz w:val="18"/>
              </w:rPr>
              <w:t>Version 1.1 does not allow stale evidence. It requires Sounding Line to prove why retained evidence is still valid. “Do not rerun it because it is expensive” is invalid. “Do not rerun it because no producer, consumer, contract, environment, fixture, or resource identity on which that evidence depends changed” is valid.</w:t>
            </w:r>
          </w:p>
        </w:tc>
      </w:tr>
    </w:tbl>
    <w:p/>
    <w:p>
      <w:r>
        <w:br w:type="page"/>
      </w:r>
    </w:p>
    <w:p>
      <w:pPr>
        <w:pStyle w:val="Heading1"/>
        <w:pBdr>
          <w:bottom w:val="single" w:sz="18" w:space="4" w:color="2E7D7A"/>
        </w:pBdr>
      </w:pPr>
      <w:r>
        <w:rPr>
          <w:color w:val="174657"/>
        </w:rPr>
        <w:t>2. New Canonical Vocabulary</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376"/>
            <w:vAlign w:val="top"/>
            <w:tcMar>
              <w:top w:w="80" w:type="dxa"/>
              <w:start w:w="100" w:type="dxa"/>
              <w:bottom w:w="80" w:type="dxa"/>
              <w:end w:w="100" w:type="dxa"/>
            </w:tcMar>
            <w:shd w:fill="174657"/>
          </w:tcPr>
          <w:p>
            <w:r/>
            <w:r>
              <w:rPr>
                <w:rFonts w:ascii="Aptos" w:hAnsi="Aptos"/>
                <w:b/>
                <w:color w:val="FFFFFF"/>
                <w:sz w:val="16"/>
              </w:rPr>
              <w:t>Term</w:t>
            </w:r>
          </w:p>
        </w:tc>
        <w:tc>
          <w:tcPr>
            <w:tcW w:type="dxa" w:w="6912"/>
            <w:vAlign w:val="top"/>
            <w:tcMar>
              <w:top w:w="80" w:type="dxa"/>
              <w:start w:w="100" w:type="dxa"/>
              <w:bottom w:w="80" w:type="dxa"/>
              <w:end w:w="100" w:type="dxa"/>
            </w:tcMar>
            <w:shd w:fill="174657"/>
          </w:tcPr>
          <w:p>
            <w:r/>
            <w:r>
              <w:rPr>
                <w:rFonts w:ascii="Aptos" w:hAnsi="Aptos"/>
                <w:b/>
                <w:color w:val="FFFFFF"/>
                <w:sz w:val="16"/>
              </w:rPr>
              <w:t>Definition</w:t>
            </w:r>
          </w:p>
        </w:tc>
      </w:tr>
      <w:tr>
        <w:tc>
          <w:tcPr>
            <w:tcW w:type="dxa" w:w="2376"/>
            <w:vAlign w:val="top"/>
            <w:tcMar>
              <w:top w:w="80" w:type="dxa"/>
              <w:start w:w="100" w:type="dxa"/>
              <w:bottom w:w="80" w:type="dxa"/>
              <w:end w:w="100" w:type="dxa"/>
            </w:tcMar>
            <w:shd w:fill="FFFFFF"/>
          </w:tcPr>
          <w:p>
            <w:r/>
            <w:r>
              <w:rPr>
                <w:rFonts w:ascii="Aptos" w:hAnsi="Aptos"/>
                <w:b w:val="0"/>
                <w:color w:val="2F3337"/>
                <w:sz w:val="16"/>
              </w:rPr>
              <w:t>Evidence Invalidation Manifest</w:t>
            </w:r>
          </w:p>
        </w:tc>
        <w:tc>
          <w:tcPr>
            <w:tcW w:type="dxa" w:w="6912"/>
            <w:vAlign w:val="top"/>
            <w:tcMar>
              <w:top w:w="80" w:type="dxa"/>
              <w:start w:w="100" w:type="dxa"/>
              <w:bottom w:w="80" w:type="dxa"/>
              <w:end w:w="100" w:type="dxa"/>
            </w:tcMar>
            <w:shd w:fill="FFFFFF"/>
          </w:tcPr>
          <w:p>
            <w:r/>
            <w:r>
              <w:rPr>
                <w:rFonts w:ascii="Aptos" w:hAnsi="Aptos"/>
                <w:b w:val="0"/>
                <w:color w:val="2F3337"/>
                <w:sz w:val="16"/>
              </w:rPr>
              <w:t>Machine-readable explanation of which prior receipts are invalidated by a new source/policy/environment state and why.</w:t>
            </w:r>
          </w:p>
        </w:tc>
      </w:tr>
      <w:tr>
        <w:tc>
          <w:tcPr>
            <w:tcW w:type="dxa" w:w="2376"/>
            <w:vAlign w:val="top"/>
            <w:tcMar>
              <w:top w:w="80" w:type="dxa"/>
              <w:start w:w="100" w:type="dxa"/>
              <w:bottom w:w="80" w:type="dxa"/>
              <w:end w:w="100" w:type="dxa"/>
            </w:tcMar>
            <w:shd w:fill="F5F7F8"/>
          </w:tcPr>
          <w:p>
            <w:r/>
            <w:r>
              <w:rPr>
                <w:rFonts w:ascii="Aptos" w:hAnsi="Aptos"/>
                <w:b w:val="0"/>
                <w:color w:val="2F3337"/>
                <w:sz w:val="16"/>
              </w:rPr>
              <w:t>Evidence Carry-Forward Receipt</w:t>
            </w:r>
          </w:p>
        </w:tc>
        <w:tc>
          <w:tcPr>
            <w:tcW w:type="dxa" w:w="6912"/>
            <w:vAlign w:val="top"/>
            <w:tcMar>
              <w:top w:w="80" w:type="dxa"/>
              <w:start w:w="100" w:type="dxa"/>
              <w:bottom w:w="80" w:type="dxa"/>
              <w:end w:w="100" w:type="dxa"/>
            </w:tcMar>
            <w:shd w:fill="F5F7F8"/>
          </w:tcPr>
          <w:p>
            <w:r/>
            <w:r>
              <w:rPr>
                <w:rFonts w:ascii="Aptos" w:hAnsi="Aptos"/>
                <w:b w:val="0"/>
                <w:color w:val="2F3337"/>
                <w:sz w:val="16"/>
              </w:rPr>
              <w:t>New-source receipt referencing immutable prior evidence and proving its dependencies remain unchanged.</w:t>
            </w:r>
          </w:p>
        </w:tc>
      </w:tr>
      <w:tr>
        <w:tc>
          <w:tcPr>
            <w:tcW w:type="dxa" w:w="2376"/>
            <w:vAlign w:val="top"/>
            <w:tcMar>
              <w:top w:w="80" w:type="dxa"/>
              <w:start w:w="100" w:type="dxa"/>
              <w:bottom w:w="80" w:type="dxa"/>
              <w:end w:w="100" w:type="dxa"/>
            </w:tcMar>
            <w:shd w:fill="FFFFFF"/>
          </w:tcPr>
          <w:p>
            <w:r/>
            <w:r>
              <w:rPr>
                <w:rFonts w:ascii="Aptos" w:hAnsi="Aptos"/>
                <w:b w:val="0"/>
                <w:color w:val="2F3337"/>
                <w:sz w:val="16"/>
              </w:rPr>
              <w:t>PRESERVED</w:t>
            </w:r>
          </w:p>
        </w:tc>
        <w:tc>
          <w:tcPr>
            <w:tcW w:type="dxa" w:w="6912"/>
            <w:vAlign w:val="top"/>
            <w:tcMar>
              <w:top w:w="80" w:type="dxa"/>
              <w:start w:w="100" w:type="dxa"/>
              <w:bottom w:w="80" w:type="dxa"/>
              <w:end w:w="100" w:type="dxa"/>
            </w:tcMar>
            <w:shd w:fill="FFFFFF"/>
          </w:tcPr>
          <w:p>
            <w:r/>
            <w:r>
              <w:rPr>
                <w:rFonts w:ascii="Aptos" w:hAnsi="Aptos"/>
                <w:b w:val="0"/>
                <w:color w:val="2F3337"/>
                <w:sz w:val="16"/>
              </w:rPr>
              <w:t>Prior receipt remains semantically valid for the new decision through a carry-forward proof.</w:t>
            </w:r>
          </w:p>
        </w:tc>
      </w:tr>
      <w:tr>
        <w:tc>
          <w:tcPr>
            <w:tcW w:type="dxa" w:w="2376"/>
            <w:vAlign w:val="top"/>
            <w:tcMar>
              <w:top w:w="80" w:type="dxa"/>
              <w:start w:w="100" w:type="dxa"/>
              <w:bottom w:w="80" w:type="dxa"/>
              <w:end w:w="100" w:type="dxa"/>
            </w:tcMar>
            <w:shd w:fill="F5F7F8"/>
          </w:tcPr>
          <w:p>
            <w:r/>
            <w:r>
              <w:rPr>
                <w:rFonts w:ascii="Aptos" w:hAnsi="Aptos"/>
                <w:b w:val="0"/>
                <w:color w:val="2F3337"/>
                <w:sz w:val="16"/>
              </w:rPr>
              <w:t>INVALIDATED</w:t>
            </w:r>
          </w:p>
        </w:tc>
        <w:tc>
          <w:tcPr>
            <w:tcW w:type="dxa" w:w="6912"/>
            <w:vAlign w:val="top"/>
            <w:tcMar>
              <w:top w:w="80" w:type="dxa"/>
              <w:start w:w="100" w:type="dxa"/>
              <w:bottom w:w="80" w:type="dxa"/>
              <w:end w:w="100" w:type="dxa"/>
            </w:tcMar>
            <w:shd w:fill="F5F7F8"/>
          </w:tcPr>
          <w:p>
            <w:r/>
            <w:r>
              <w:rPr>
                <w:rFonts w:ascii="Aptos" w:hAnsi="Aptos"/>
                <w:b w:val="0"/>
                <w:color w:val="2F3337"/>
                <w:sz w:val="16"/>
              </w:rPr>
              <w:t>Changed dependency means the prior receipt cannot contribute to the new decision.</w:t>
            </w:r>
          </w:p>
        </w:tc>
      </w:tr>
      <w:tr>
        <w:tc>
          <w:tcPr>
            <w:tcW w:type="dxa" w:w="2376"/>
            <w:vAlign w:val="top"/>
            <w:tcMar>
              <w:top w:w="80" w:type="dxa"/>
              <w:start w:w="100" w:type="dxa"/>
              <w:bottom w:w="80" w:type="dxa"/>
              <w:end w:w="100" w:type="dxa"/>
            </w:tcMar>
            <w:shd w:fill="FFFFFF"/>
          </w:tcPr>
          <w:p>
            <w:r/>
            <w:r>
              <w:rPr>
                <w:rFonts w:ascii="Aptos" w:hAnsi="Aptos"/>
                <w:b w:val="0"/>
                <w:color w:val="2F3337"/>
                <w:sz w:val="16"/>
              </w:rPr>
              <w:t>REBOUND</w:t>
            </w:r>
          </w:p>
        </w:tc>
        <w:tc>
          <w:tcPr>
            <w:tcW w:type="dxa" w:w="6912"/>
            <w:vAlign w:val="top"/>
            <w:tcMar>
              <w:top w:w="80" w:type="dxa"/>
              <w:start w:w="100" w:type="dxa"/>
              <w:bottom w:w="80" w:type="dxa"/>
              <w:end w:w="100" w:type="dxa"/>
            </w:tcMar>
            <w:shd w:fill="FFFFFF"/>
          </w:tcPr>
          <w:p>
            <w:r/>
            <w:r>
              <w:rPr>
                <w:rFonts w:ascii="Aptos" w:hAnsi="Aptos"/>
                <w:b w:val="0"/>
                <w:color w:val="2F3337"/>
                <w:sz w:val="16"/>
              </w:rPr>
              <w:t>Evidence meaning is unchanged but source-bound metadata or generated-record identity is updated through a validated rebinding step.</w:t>
            </w:r>
          </w:p>
        </w:tc>
      </w:tr>
      <w:tr>
        <w:tc>
          <w:tcPr>
            <w:tcW w:type="dxa" w:w="2376"/>
            <w:vAlign w:val="top"/>
            <w:tcMar>
              <w:top w:w="80" w:type="dxa"/>
              <w:start w:w="100" w:type="dxa"/>
              <w:bottom w:w="80" w:type="dxa"/>
              <w:end w:w="100" w:type="dxa"/>
            </w:tcMar>
            <w:shd w:fill="F5F7F8"/>
          </w:tcPr>
          <w:p>
            <w:r/>
            <w:r>
              <w:rPr>
                <w:rFonts w:ascii="Aptos" w:hAnsi="Aptos"/>
                <w:b w:val="0"/>
                <w:color w:val="2F3337"/>
                <w:sz w:val="16"/>
              </w:rPr>
              <w:t>SUPERSEDED</w:t>
            </w:r>
          </w:p>
        </w:tc>
        <w:tc>
          <w:tcPr>
            <w:tcW w:type="dxa" w:w="6912"/>
            <w:vAlign w:val="top"/>
            <w:tcMar>
              <w:top w:w="80" w:type="dxa"/>
              <w:start w:w="100" w:type="dxa"/>
              <w:bottom w:w="80" w:type="dxa"/>
              <w:end w:w="100" w:type="dxa"/>
            </w:tcMar>
            <w:shd w:fill="F5F7F8"/>
          </w:tcPr>
          <w:p>
            <w:r/>
            <w:r>
              <w:rPr>
                <w:rFonts w:ascii="Aptos" w:hAnsi="Aptos"/>
                <w:b w:val="0"/>
                <w:color w:val="2F3337"/>
                <w:sz w:val="16"/>
              </w:rPr>
              <w:t>A stronger/newer valid receipt replaces a prior receipt for decision purposes; the historical receipt remains immutable.</w:t>
            </w:r>
          </w:p>
        </w:tc>
      </w:tr>
      <w:tr>
        <w:tc>
          <w:tcPr>
            <w:tcW w:type="dxa" w:w="2376"/>
            <w:vAlign w:val="top"/>
            <w:tcMar>
              <w:top w:w="80" w:type="dxa"/>
              <w:start w:w="100" w:type="dxa"/>
              <w:bottom w:w="80" w:type="dxa"/>
              <w:end w:w="100" w:type="dxa"/>
            </w:tcMar>
            <w:shd w:fill="FFFFFF"/>
          </w:tcPr>
          <w:p>
            <w:r/>
            <w:r>
              <w:rPr>
                <w:rFonts w:ascii="Aptos" w:hAnsi="Aptos"/>
                <w:b w:val="0"/>
                <w:color w:val="2F3337"/>
                <w:sz w:val="16"/>
              </w:rPr>
              <w:t>Material Product Change</w:t>
            </w:r>
          </w:p>
        </w:tc>
        <w:tc>
          <w:tcPr>
            <w:tcW w:type="dxa" w:w="6912"/>
            <w:vAlign w:val="top"/>
            <w:tcMar>
              <w:top w:w="80" w:type="dxa"/>
              <w:start w:w="100" w:type="dxa"/>
              <w:bottom w:w="80" w:type="dxa"/>
              <w:end w:w="100" w:type="dxa"/>
            </w:tcMar>
            <w:shd w:fill="FFFFFF"/>
          </w:tcPr>
          <w:p>
            <w:r/>
            <w:r>
              <w:rPr>
                <w:rFonts w:ascii="Aptos" w:hAnsi="Aptos"/>
                <w:b w:val="0"/>
                <w:color w:val="2F3337"/>
                <w:sz w:val="16"/>
              </w:rPr>
              <w:t>Production behavior, authoritative contract, persistence, security/privacy, or runtime semantics changed.</w:t>
            </w:r>
          </w:p>
        </w:tc>
      </w:tr>
      <w:tr>
        <w:tc>
          <w:tcPr>
            <w:tcW w:type="dxa" w:w="2376"/>
            <w:vAlign w:val="top"/>
            <w:tcMar>
              <w:top w:w="80" w:type="dxa"/>
              <w:start w:w="100" w:type="dxa"/>
              <w:bottom w:w="80" w:type="dxa"/>
              <w:end w:w="100" w:type="dxa"/>
            </w:tcMar>
            <w:shd w:fill="F5F7F8"/>
          </w:tcPr>
          <w:p>
            <w:r/>
            <w:r>
              <w:rPr>
                <w:rFonts w:ascii="Aptos" w:hAnsi="Aptos"/>
                <w:b w:val="0"/>
                <w:color w:val="2F3337"/>
                <w:sz w:val="16"/>
              </w:rPr>
              <w:t>Test-Only Change</w:t>
            </w:r>
          </w:p>
        </w:tc>
        <w:tc>
          <w:tcPr>
            <w:tcW w:type="dxa" w:w="6912"/>
            <w:vAlign w:val="top"/>
            <w:tcMar>
              <w:top w:w="80" w:type="dxa"/>
              <w:start w:w="100" w:type="dxa"/>
              <w:bottom w:w="80" w:type="dxa"/>
              <w:end w:w="100" w:type="dxa"/>
            </w:tcMar>
            <w:shd w:fill="F5F7F8"/>
          </w:tcPr>
          <w:p>
            <w:r/>
            <w:r>
              <w:rPr>
                <w:rFonts w:ascii="Aptos" w:hAnsi="Aptos"/>
                <w:b w:val="0"/>
                <w:color w:val="2F3337"/>
                <w:sz w:val="16"/>
              </w:rPr>
              <w:t>Only test logic, locator, assertion plumbing, test timing budget, or test fixture orchestration changed; production behavior did not.</w:t>
            </w:r>
          </w:p>
        </w:tc>
      </w:tr>
      <w:tr>
        <w:tc>
          <w:tcPr>
            <w:tcW w:type="dxa" w:w="2376"/>
            <w:vAlign w:val="top"/>
            <w:tcMar>
              <w:top w:w="80" w:type="dxa"/>
              <w:start w:w="100" w:type="dxa"/>
              <w:bottom w:w="80" w:type="dxa"/>
              <w:end w:w="100" w:type="dxa"/>
            </w:tcMar>
            <w:shd w:fill="FFFFFF"/>
          </w:tcPr>
          <w:p>
            <w:r/>
            <w:r>
              <w:rPr>
                <w:rFonts w:ascii="Aptos" w:hAnsi="Aptos"/>
                <w:b w:val="0"/>
                <w:color w:val="2F3337"/>
                <w:sz w:val="16"/>
              </w:rPr>
              <w:t>Evidence-Only Change</w:t>
            </w:r>
          </w:p>
        </w:tc>
        <w:tc>
          <w:tcPr>
            <w:tcW w:type="dxa" w:w="6912"/>
            <w:vAlign w:val="top"/>
            <w:tcMar>
              <w:top w:w="80" w:type="dxa"/>
              <w:start w:w="100" w:type="dxa"/>
              <w:bottom w:w="80" w:type="dxa"/>
              <w:end w:w="100" w:type="dxa"/>
            </w:tcMar>
            <w:shd w:fill="FFFFFF"/>
          </w:tcPr>
          <w:p>
            <w:r/>
            <w:r>
              <w:rPr>
                <w:rFonts w:ascii="Aptos" w:hAnsi="Aptos"/>
                <w:b w:val="0"/>
                <w:color w:val="2F3337"/>
                <w:sz w:val="16"/>
              </w:rPr>
              <w:t>Only generated evidence, completion record, catalog status, or source-bound evidence metadata changed.</w:t>
            </w:r>
          </w:p>
        </w:tc>
      </w:tr>
      <w:tr>
        <w:tc>
          <w:tcPr>
            <w:tcW w:type="dxa" w:w="2376"/>
            <w:vAlign w:val="top"/>
            <w:tcMar>
              <w:top w:w="80" w:type="dxa"/>
              <w:start w:w="100" w:type="dxa"/>
              <w:bottom w:w="80" w:type="dxa"/>
              <w:end w:w="100" w:type="dxa"/>
            </w:tcMar>
            <w:shd w:fill="F5F7F8"/>
          </w:tcPr>
          <w:p>
            <w:r/>
            <w:r>
              <w:rPr>
                <w:rFonts w:ascii="Aptos" w:hAnsi="Aptos"/>
                <w:b w:val="0"/>
                <w:color w:val="2F3337"/>
                <w:sz w:val="16"/>
              </w:rPr>
              <w:t>Environment-Qualified Evidence</w:t>
            </w:r>
          </w:p>
        </w:tc>
        <w:tc>
          <w:tcPr>
            <w:tcW w:type="dxa" w:w="6912"/>
            <w:vAlign w:val="top"/>
            <w:tcMar>
              <w:top w:w="80" w:type="dxa"/>
              <w:start w:w="100" w:type="dxa"/>
              <w:bottom w:w="80" w:type="dxa"/>
              <w:end w:w="100" w:type="dxa"/>
            </w:tcMar>
            <w:shd w:fill="F5F7F8"/>
          </w:tcPr>
          <w:p>
            <w:r/>
            <w:r>
              <w:rPr>
                <w:rFonts w:ascii="Aptos" w:hAnsi="Aptos"/>
                <w:b w:val="0"/>
                <w:color w:val="2F3337"/>
                <w:sz w:val="16"/>
              </w:rPr>
              <w:t>Receipt whose validity includes an environment class such as reference CI, normal developer workstation, or resource-contended workstation.</w:t>
            </w:r>
          </w:p>
        </w:tc>
      </w:tr>
    </w:tbl>
    <w:p/>
    <w:p>
      <w:r>
        <w:br w:type="page"/>
      </w:r>
    </w:p>
    <w:p>
      <w:pPr>
        <w:pStyle w:val="Heading1"/>
        <w:pBdr>
          <w:bottom w:val="single" w:sz="18" w:space="4" w:color="2E7D7A"/>
        </w:pBdr>
      </w:pPr>
      <w:r>
        <w:rPr>
          <w:color w:val="174657"/>
        </w:rPr>
        <w:t>3. Semantic Evidence Invalidation</w:t>
      </w:r>
    </w:p>
    <w:p>
      <w:pPr>
        <w:pStyle w:val="Body"/>
      </w:pPr>
      <w:r>
        <w:t>Evidence invalidation is determined by dependency semantics, not by SHA inequality alone. A commit hash changes whenever any tracked file changes. Verification meaning changes only when a dependency of the receipt changes.</w:t>
      </w:r>
    </w:p>
    <w:tbl>
      <w:tblPr>
        <w:tblW w:type="auto" w:w="0"/>
        <w:jc w:val="center"/>
        <w:tblLayout w:type="fixed"/>
        <w:tblLook w:firstColumn="1" w:firstRow="1" w:lastColumn="0" w:lastRow="0" w:noHBand="0" w:noVBand="1" w:val="04A0"/>
      </w:tblPr>
      <w:tblGrid>
        <w:gridCol w:w="9288"/>
      </w:tblGrid>
      <w:tr>
        <w:tc>
          <w:tcPr>
            <w:tcW w:type="dxa" w:w="10368"/>
            <w:shd w:fill="F5F7F8"/>
            <w:tcMar>
              <w:top w:w="100" w:type="dxa"/>
              <w:start w:w="130" w:type="dxa"/>
              <w:bottom w:w="100" w:type="dxa"/>
              <w:end w:w="130" w:type="dxa"/>
            </w:tcMar>
          </w:tcPr>
          <w:p>
            <w:r/>
            <w:r>
              <w:rPr>
                <w:rFonts w:ascii="Consolas" w:hAnsi="Consolas"/>
                <w:color w:val="2F3337"/>
                <w:sz w:val="16"/>
              </w:rPr>
              <w:t>NEW SOURCE STATE</w:t>
              <w:br/>
              <w:t xml:space="preserve">   |</w:t>
              <w:br/>
              <w:t xml:space="preserve">   +--&gt; changed files/contracts/policy/environment</w:t>
              <w:br/>
              <w:t xml:space="preserve">            |</w:t>
              <w:br/>
              <w:t xml:space="preserve">            +--&gt; dependency graph analysis</w:t>
              <w:br/>
              <w:t xml:space="preserve">                     |</w:t>
              <w:br/>
              <w:t xml:space="preserve">                     +--&gt; INVALIDATED receipts -&gt; rerun</w:t>
              <w:br/>
              <w:t xml:space="preserve">                     +--&gt; PRESERVED receipts  -&gt; carry forward</w:t>
              <w:br/>
              <w:t xml:space="preserve">                     +--&gt; REBOUND records     -&gt; regenerate/rebind</w:t>
              <w:br/>
              <w:t xml:space="preserve">                     +--&gt; SUPERSEDED receipts -&gt; retain historically, omit from decision</w:t>
            </w:r>
          </w:p>
        </w:tc>
      </w:tr>
    </w:tbl>
    <w:p/>
    <w:p>
      <w:pPr>
        <w:pStyle w:val="Heading2"/>
      </w:pPr>
      <w:r>
        <w:t>3.1 Required invalidation inputs</w:t>
      </w:r>
    </w:p>
    <w:p>
      <w:pPr>
        <w:pStyle w:val="BodyBullet"/>
      </w:pPr>
      <w:r>
        <w:t>Changed production files and their direct/transitive consumers.</w:t>
      </w:r>
    </w:p>
    <w:p>
      <w:pPr>
        <w:pStyle w:val="BodyBullet"/>
      </w:pPr>
      <w:r>
        <w:t>Changed verification contracts, suite definitions, fixture versions, and test ownership metadata.</w:t>
      </w:r>
    </w:p>
    <w:p>
      <w:pPr>
        <w:pStyle w:val="BodyBullet"/>
      </w:pPr>
      <w:r>
        <w:t>Changed schemas, migrations, generated clients, lockfiles, toolchain identity, or resource contracts.</w:t>
      </w:r>
    </w:p>
    <w:p>
      <w:pPr>
        <w:pStyle w:val="BodyBullet"/>
      </w:pPr>
      <w:r>
        <w:t>Changed security/privacy/persistence/progression authority or public projection behavior.</w:t>
      </w:r>
    </w:p>
    <w:p>
      <w:pPr>
        <w:pStyle w:val="BodyBullet"/>
      </w:pPr>
      <w:r>
        <w:t>Changed environment identity when the receipt depends on browser, OS, provider, hardware, timing, or capacity behavior.</w:t>
      </w:r>
    </w:p>
    <w:p>
      <w:pPr>
        <w:pStyle w:val="BodyBullet"/>
      </w:pPr>
      <w:r>
        <w:t>Changed release policy or gate requirements.</w:t>
      </w:r>
    </w:p>
    <w:p>
      <w:pPr>
        <w:pStyle w:val="Heading2"/>
      </w:pPr>
      <w:r>
        <w:t>3.2 Explicit non-invalidators</w:t>
      </w:r>
    </w:p>
    <w:p>
      <w:pPr>
        <w:pStyle w:val="BodyBullet"/>
      </w:pPr>
      <w:r>
        <w:t>Unrelated source changes with no path to the receipt’s protected contracts.</w:t>
      </w:r>
    </w:p>
    <w:p>
      <w:pPr>
        <w:pStyle w:val="BodyBullet"/>
      </w:pPr>
      <w:r>
        <w:t>Documentation wording that does not change policy or executable examples.</w:t>
      </w:r>
    </w:p>
    <w:p>
      <w:pPr>
        <w:pStyle w:val="BodyBullet"/>
      </w:pPr>
      <w:r>
        <w:t>Generated index/catalog regeneration when the owning machine-readable product contract is unchanged.</w:t>
      </w:r>
    </w:p>
    <w:p>
      <w:pPr>
        <w:pStyle w:val="BodyBullet"/>
      </w:pPr>
      <w:r>
        <w:t>A different project landing on main when impact analysis proves no shared contract, schema, test infrastructure, fixture, or runtime dependency changed.</w:t>
      </w:r>
    </w:p>
    <w:p>
      <w:r>
        <w:br w:type="page"/>
      </w:r>
    </w:p>
    <w:p>
      <w:pPr>
        <w:pStyle w:val="Heading1"/>
        <w:pBdr>
          <w:bottom w:val="single" w:sz="18" w:space="4" w:color="2E7D7A"/>
        </w:pBdr>
      </w:pPr>
      <w:r>
        <w:rPr>
          <w:color w:val="174657"/>
        </w:rPr>
        <w:t>4. Test-Only and Evidence-Only Invalidation Ceiling</w:t>
      </w:r>
    </w:p>
    <w:p>
      <w:pPr>
        <w:pStyle w:val="Body"/>
      </w:pPr>
      <w:r>
        <w:t>A test-only change may not cause a full repository revalidation merely because the source SHA changed. The planner must cap invalidation at the changed test family and any direct evidence consumers unless it can explain a broader dependency.</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32"/>
            <w:vAlign w:val="top"/>
            <w:tcMar>
              <w:top w:w="80" w:type="dxa"/>
              <w:start w:w="100" w:type="dxa"/>
              <w:bottom w:w="80" w:type="dxa"/>
              <w:end w:w="100" w:type="dxa"/>
            </w:tcMar>
            <w:shd w:fill="174657"/>
          </w:tcPr>
          <w:p>
            <w:r/>
            <w:r>
              <w:rPr>
                <w:rFonts w:ascii="Aptos" w:hAnsi="Aptos"/>
                <w:b/>
                <w:color w:val="FFFFFF"/>
                <w:sz w:val="16"/>
              </w:rPr>
              <w:t>Change</w:t>
            </w:r>
          </w:p>
        </w:tc>
        <w:tc>
          <w:tcPr>
            <w:tcW w:type="dxa" w:w="3240"/>
            <w:vAlign w:val="top"/>
            <w:tcMar>
              <w:top w:w="80" w:type="dxa"/>
              <w:start w:w="100" w:type="dxa"/>
              <w:bottom w:w="80" w:type="dxa"/>
              <w:end w:w="100" w:type="dxa"/>
            </w:tcMar>
            <w:shd w:fill="174657"/>
          </w:tcPr>
          <w:p>
            <w:r/>
            <w:r>
              <w:rPr>
                <w:rFonts w:ascii="Aptos" w:hAnsi="Aptos"/>
                <w:b/>
                <w:color w:val="FFFFFF"/>
                <w:sz w:val="16"/>
              </w:rPr>
              <w:t>Default invalidation ceiling</w:t>
            </w:r>
          </w:p>
        </w:tc>
        <w:tc>
          <w:tcPr>
            <w:tcW w:type="dxa" w:w="3816"/>
            <w:vAlign w:val="top"/>
            <w:tcMar>
              <w:top w:w="80" w:type="dxa"/>
              <w:start w:w="100" w:type="dxa"/>
              <w:bottom w:w="80" w:type="dxa"/>
              <w:end w:w="100" w:type="dxa"/>
            </w:tcMar>
            <w:shd w:fill="174657"/>
          </w:tcPr>
          <w:p>
            <w:r/>
            <w:r>
              <w:rPr>
                <w:rFonts w:ascii="Aptos" w:hAnsi="Aptos"/>
                <w:b/>
                <w:color w:val="FFFFFF"/>
                <w:sz w:val="16"/>
              </w:rPr>
              <w:t>Broaden only when</w:t>
            </w:r>
          </w:p>
        </w:tc>
      </w:tr>
      <w:tr>
        <w:tc>
          <w:tcPr>
            <w:tcW w:type="dxa" w:w="2232"/>
            <w:vAlign w:val="top"/>
            <w:tcMar>
              <w:top w:w="80" w:type="dxa"/>
              <w:start w:w="100" w:type="dxa"/>
              <w:bottom w:w="80" w:type="dxa"/>
              <w:end w:w="100" w:type="dxa"/>
            </w:tcMar>
            <w:shd w:fill="FFFFFF"/>
          </w:tcPr>
          <w:p>
            <w:r/>
            <w:r>
              <w:rPr>
                <w:rFonts w:ascii="Aptos" w:hAnsi="Aptos"/>
                <w:b w:val="0"/>
                <w:color w:val="2F3337"/>
                <w:sz w:val="16"/>
              </w:rPr>
              <w:t>Locator/assertion synchronization in one E2E file</w:t>
            </w:r>
          </w:p>
        </w:tc>
        <w:tc>
          <w:tcPr>
            <w:tcW w:type="dxa" w:w="3240"/>
            <w:vAlign w:val="top"/>
            <w:tcMar>
              <w:top w:w="80" w:type="dxa"/>
              <w:start w:w="100" w:type="dxa"/>
              <w:bottom w:w="80" w:type="dxa"/>
              <w:end w:w="100" w:type="dxa"/>
            </w:tcMar>
            <w:shd w:fill="FFFFFF"/>
          </w:tcPr>
          <w:p>
            <w:r/>
            <w:r>
              <w:rPr>
                <w:rFonts w:ascii="Aptos" w:hAnsi="Aptos"/>
                <w:b w:val="0"/>
                <w:color w:val="2F3337"/>
                <w:sz w:val="16"/>
              </w:rPr>
              <w:t>Owning browser suite + direct finalizer input</w:t>
            </w:r>
          </w:p>
        </w:tc>
        <w:tc>
          <w:tcPr>
            <w:tcW w:type="dxa" w:w="3816"/>
            <w:vAlign w:val="top"/>
            <w:tcMar>
              <w:top w:w="80" w:type="dxa"/>
              <w:start w:w="100" w:type="dxa"/>
              <w:bottom w:w="80" w:type="dxa"/>
              <w:end w:w="100" w:type="dxa"/>
            </w:tcMar>
            <w:shd w:fill="FFFFFF"/>
          </w:tcPr>
          <w:p>
            <w:r/>
            <w:r>
              <w:rPr>
                <w:rFonts w:ascii="Aptos" w:hAnsi="Aptos"/>
                <w:b w:val="0"/>
                <w:color w:val="2F3337"/>
                <w:sz w:val="16"/>
              </w:rPr>
              <w:t>Shared helper, fixture, route contract, or semantic assertion library changed.</w:t>
            </w:r>
          </w:p>
        </w:tc>
      </w:tr>
      <w:tr>
        <w:tc>
          <w:tcPr>
            <w:tcW w:type="dxa" w:w="2232"/>
            <w:vAlign w:val="top"/>
            <w:tcMar>
              <w:top w:w="80" w:type="dxa"/>
              <w:start w:w="100" w:type="dxa"/>
              <w:bottom w:w="80" w:type="dxa"/>
              <w:end w:w="100" w:type="dxa"/>
            </w:tcMar>
            <w:shd w:fill="F5F7F8"/>
          </w:tcPr>
          <w:p>
            <w:r/>
            <w:r>
              <w:rPr>
                <w:rFonts w:ascii="Aptos" w:hAnsi="Aptos"/>
                <w:b w:val="0"/>
                <w:color w:val="2F3337"/>
                <w:sz w:val="16"/>
              </w:rPr>
              <w:t>Timeout budget with diagnosed environment cause</w:t>
            </w:r>
          </w:p>
        </w:tc>
        <w:tc>
          <w:tcPr>
            <w:tcW w:type="dxa" w:w="3240"/>
            <w:vAlign w:val="top"/>
            <w:tcMar>
              <w:top w:w="80" w:type="dxa"/>
              <w:start w:w="100" w:type="dxa"/>
              <w:bottom w:w="80" w:type="dxa"/>
              <w:end w:w="100" w:type="dxa"/>
            </w:tcMar>
            <w:shd w:fill="F5F7F8"/>
          </w:tcPr>
          <w:p>
            <w:r/>
            <w:r>
              <w:rPr>
                <w:rFonts w:ascii="Aptos" w:hAnsi="Aptos"/>
                <w:b w:val="0"/>
                <w:color w:val="2F3337"/>
                <w:sz w:val="16"/>
              </w:rPr>
              <w:t>Owning suite timing evidence + finalizer</w:t>
            </w:r>
          </w:p>
        </w:tc>
        <w:tc>
          <w:tcPr>
            <w:tcW w:type="dxa" w:w="3816"/>
            <w:vAlign w:val="top"/>
            <w:tcMar>
              <w:top w:w="80" w:type="dxa"/>
              <w:start w:w="100" w:type="dxa"/>
              <w:bottom w:w="80" w:type="dxa"/>
              <w:end w:w="100" w:type="dxa"/>
            </w:tcMar>
            <w:shd w:fill="F5F7F8"/>
          </w:tcPr>
          <w:p>
            <w:r/>
            <w:r>
              <w:rPr>
                <w:rFonts w:ascii="Aptos" w:hAnsi="Aptos"/>
                <w:b w:val="0"/>
                <w:color w:val="2F3337"/>
                <w:sz w:val="16"/>
              </w:rPr>
              <w:t>Timeout encodes a product performance contract or shared runtime policy.</w:t>
            </w:r>
          </w:p>
        </w:tc>
      </w:tr>
      <w:tr>
        <w:tc>
          <w:tcPr>
            <w:tcW w:type="dxa" w:w="2232"/>
            <w:vAlign w:val="top"/>
            <w:tcMar>
              <w:top w:w="80" w:type="dxa"/>
              <w:start w:w="100" w:type="dxa"/>
              <w:bottom w:w="80" w:type="dxa"/>
              <w:end w:w="100" w:type="dxa"/>
            </w:tcMar>
            <w:shd w:fill="FFFFFF"/>
          </w:tcPr>
          <w:p>
            <w:r/>
            <w:r>
              <w:rPr>
                <w:rFonts w:ascii="Aptos" w:hAnsi="Aptos"/>
                <w:b w:val="0"/>
                <w:color w:val="2F3337"/>
                <w:sz w:val="16"/>
              </w:rPr>
              <w:t>Test fixture repair</w:t>
            </w:r>
          </w:p>
        </w:tc>
        <w:tc>
          <w:tcPr>
            <w:tcW w:type="dxa" w:w="3240"/>
            <w:vAlign w:val="top"/>
            <w:tcMar>
              <w:top w:w="80" w:type="dxa"/>
              <w:start w:w="100" w:type="dxa"/>
              <w:bottom w:w="80" w:type="dxa"/>
              <w:end w:w="100" w:type="dxa"/>
            </w:tcMar>
            <w:shd w:fill="FFFFFF"/>
          </w:tcPr>
          <w:p>
            <w:r/>
            <w:r>
              <w:rPr>
                <w:rFonts w:ascii="Aptos" w:hAnsi="Aptos"/>
                <w:b w:val="0"/>
                <w:color w:val="2F3337"/>
                <w:sz w:val="16"/>
              </w:rPr>
              <w:t>Suites using that fixture + dependent decision nodes</w:t>
            </w:r>
          </w:p>
        </w:tc>
        <w:tc>
          <w:tcPr>
            <w:tcW w:type="dxa" w:w="3816"/>
            <w:vAlign w:val="top"/>
            <w:tcMar>
              <w:top w:w="80" w:type="dxa"/>
              <w:start w:w="100" w:type="dxa"/>
              <w:bottom w:w="80" w:type="dxa"/>
              <w:end w:w="100" w:type="dxa"/>
            </w:tcMar>
            <w:shd w:fill="FFFFFF"/>
          </w:tcPr>
          <w:p>
            <w:r/>
            <w:r>
              <w:rPr>
                <w:rFonts w:ascii="Aptos" w:hAnsi="Aptos"/>
                <w:b w:val="0"/>
                <w:color w:val="2F3337"/>
                <w:sz w:val="16"/>
              </w:rPr>
              <w:t>Fixture is shared across families or changes authoritative seeded state.</w:t>
            </w:r>
          </w:p>
        </w:tc>
      </w:tr>
      <w:tr>
        <w:tc>
          <w:tcPr>
            <w:tcW w:type="dxa" w:w="2232"/>
            <w:vAlign w:val="top"/>
            <w:tcMar>
              <w:top w:w="80" w:type="dxa"/>
              <w:start w:w="100" w:type="dxa"/>
              <w:bottom w:w="80" w:type="dxa"/>
              <w:end w:w="100" w:type="dxa"/>
            </w:tcMar>
            <w:shd w:fill="F5F7F8"/>
          </w:tcPr>
          <w:p>
            <w:r/>
            <w:r>
              <w:rPr>
                <w:rFonts w:ascii="Aptos" w:hAnsi="Aptos"/>
                <w:b w:val="0"/>
                <w:color w:val="2F3337"/>
                <w:sz w:val="16"/>
              </w:rPr>
              <w:t>Feature Catalog/status record only</w:t>
            </w:r>
          </w:p>
        </w:tc>
        <w:tc>
          <w:tcPr>
            <w:tcW w:type="dxa" w:w="3240"/>
            <w:vAlign w:val="top"/>
            <w:tcMar>
              <w:top w:w="80" w:type="dxa"/>
              <w:start w:w="100" w:type="dxa"/>
              <w:bottom w:w="80" w:type="dxa"/>
              <w:end w:w="100" w:type="dxa"/>
            </w:tcMar>
            <w:shd w:fill="F5F7F8"/>
          </w:tcPr>
          <w:p>
            <w:r/>
            <w:r>
              <w:rPr>
                <w:rFonts w:ascii="Aptos" w:hAnsi="Aptos"/>
                <w:b w:val="0"/>
                <w:color w:val="2F3337"/>
                <w:sz w:val="16"/>
              </w:rPr>
              <w:t>Catalog/docs/policy validation + finalizer</w:t>
            </w:r>
          </w:p>
        </w:tc>
        <w:tc>
          <w:tcPr>
            <w:tcW w:type="dxa" w:w="3816"/>
            <w:vAlign w:val="top"/>
            <w:tcMar>
              <w:top w:w="80" w:type="dxa"/>
              <w:start w:w="100" w:type="dxa"/>
              <w:bottom w:w="80" w:type="dxa"/>
              <w:end w:w="100" w:type="dxa"/>
            </w:tcMar>
            <w:shd w:fill="F5F7F8"/>
          </w:tcPr>
          <w:p>
            <w:r/>
            <w:r>
              <w:rPr>
                <w:rFonts w:ascii="Aptos" w:hAnsi="Aptos"/>
                <w:b w:val="0"/>
                <w:color w:val="2F3337"/>
                <w:sz w:val="16"/>
              </w:rPr>
              <w:t>Record changes executable product or release-gate semantics.</w:t>
            </w:r>
          </w:p>
        </w:tc>
      </w:tr>
      <w:tr>
        <w:tc>
          <w:tcPr>
            <w:tcW w:type="dxa" w:w="2232"/>
            <w:vAlign w:val="top"/>
            <w:tcMar>
              <w:top w:w="80" w:type="dxa"/>
              <w:start w:w="100" w:type="dxa"/>
              <w:bottom w:w="80" w:type="dxa"/>
              <w:end w:w="100" w:type="dxa"/>
            </w:tcMar>
            <w:shd w:fill="FFFFFF"/>
          </w:tcPr>
          <w:p>
            <w:r/>
            <w:r>
              <w:rPr>
                <w:rFonts w:ascii="Aptos" w:hAnsi="Aptos"/>
                <w:b w:val="0"/>
                <w:color w:val="2F3337"/>
                <w:sz w:val="16"/>
              </w:rPr>
              <w:t>Completion receipt wording only</w:t>
            </w:r>
          </w:p>
        </w:tc>
        <w:tc>
          <w:tcPr>
            <w:tcW w:type="dxa" w:w="3240"/>
            <w:vAlign w:val="top"/>
            <w:tcMar>
              <w:top w:w="80" w:type="dxa"/>
              <w:start w:w="100" w:type="dxa"/>
              <w:bottom w:w="80" w:type="dxa"/>
              <w:end w:w="100" w:type="dxa"/>
            </w:tcMar>
            <w:shd w:fill="FFFFFF"/>
          </w:tcPr>
          <w:p>
            <w:r/>
            <w:r>
              <w:rPr>
                <w:rFonts w:ascii="Aptos" w:hAnsi="Aptos"/>
                <w:b w:val="0"/>
                <w:color w:val="2F3337"/>
                <w:sz w:val="16"/>
              </w:rPr>
              <w:t>Docs/evidence schema checks</w:t>
            </w:r>
          </w:p>
        </w:tc>
        <w:tc>
          <w:tcPr>
            <w:tcW w:type="dxa" w:w="3816"/>
            <w:vAlign w:val="top"/>
            <w:tcMar>
              <w:top w:w="80" w:type="dxa"/>
              <w:start w:w="100" w:type="dxa"/>
              <w:bottom w:w="80" w:type="dxa"/>
              <w:end w:w="100" w:type="dxa"/>
            </w:tcMar>
            <w:shd w:fill="FFFFFF"/>
          </w:tcPr>
          <w:p>
            <w:r/>
            <w:r>
              <w:rPr>
                <w:rFonts w:ascii="Aptos" w:hAnsi="Aptos"/>
                <w:b w:val="0"/>
                <w:color w:val="2F3337"/>
                <w:sz w:val="16"/>
              </w:rPr>
              <w:t>Receipt format/reader behavior changed.</w:t>
            </w:r>
          </w:p>
        </w:tc>
      </w:tr>
    </w:tbl>
    <w:p/>
    <w:tbl>
      <w:tblPr>
        <w:tblW w:type="auto" w:w="0"/>
        <w:jc w:val="center"/>
        <w:tblLayout w:type="fixed"/>
        <w:tblLook w:firstColumn="1" w:firstRow="1" w:lastColumn="0" w:lastRow="0" w:noHBand="0" w:noVBand="1" w:val="04A0"/>
      </w:tblPr>
      <w:tblGrid>
        <w:gridCol w:w="115"/>
        <w:gridCol w:w="9144"/>
      </w:tblGrid>
      <w:tr>
        <w:tc>
          <w:tcPr>
            <w:tcW w:type="dxa" w:w="5184"/>
            <w:shd w:fill="A8524A"/>
            <w:tcMar>
              <w:top w:w="0" w:type="dxa"/>
              <w:start w:w="0" w:type="dxa"/>
              <w:bottom w:w="0" w:type="dxa"/>
              <w:end w:w="0" w:type="dxa"/>
            </w:tcMar>
          </w:tcPr>
          <w:p/>
        </w:tc>
        <w:tc>
          <w:tcPr>
            <w:tcW w:type="dxa" w:w="5184"/>
            <w:shd w:fill="F7E7E5"/>
            <w:tcMar>
              <w:top w:w="110" w:type="dxa"/>
              <w:start w:w="150" w:type="dxa"/>
              <w:bottom w:w="110" w:type="dxa"/>
              <w:end w:w="150" w:type="dxa"/>
            </w:tcMar>
          </w:tcPr>
          <w:p>
            <w:r/>
            <w:r>
              <w:rPr>
                <w:rFonts w:ascii="Aptos Display" w:hAnsi="Aptos Display"/>
                <w:b/>
                <w:color w:val="174657"/>
                <w:sz w:val="22"/>
              </w:rPr>
              <w:t>Prohibited over-invalidation</w:t>
            </w:r>
          </w:p>
          <w:p>
            <w:r>
              <w:rPr>
                <w:rFonts w:ascii="Aptos" w:hAnsi="Aptos"/>
                <w:color w:val="2F3337"/>
                <w:sz w:val="18"/>
              </w:rPr>
              <w:t>A test-only edit to `tests/e2e/project-helm-phase1.spec.ts` may not automatically invalidate unrelated database, Community, Sealed Hold, Drydock, or migration proof. A broader rerun requires a written dependency explanation produced by the planner.</w:t>
            </w:r>
          </w:p>
        </w:tc>
      </w:tr>
    </w:tbl>
    <w:p/>
    <w:p>
      <w:r>
        <w:br w:type="page"/>
      </w:r>
    </w:p>
    <w:p>
      <w:pPr>
        <w:pStyle w:val="Heading1"/>
        <w:pBdr>
          <w:bottom w:val="single" w:sz="18" w:space="4" w:color="2E7D7A"/>
        </w:pBdr>
      </w:pPr>
      <w:r>
        <w:rPr>
          <w:color w:val="174657"/>
        </w:rPr>
        <w:t>5. Failure Classification Controls Legal Repair Scope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32"/>
            <w:vAlign w:val="top"/>
            <w:tcMar>
              <w:top w:w="80" w:type="dxa"/>
              <w:start w:w="100" w:type="dxa"/>
              <w:bottom w:w="80" w:type="dxa"/>
              <w:end w:w="100" w:type="dxa"/>
            </w:tcMar>
            <w:shd w:fill="174657"/>
          </w:tcPr>
          <w:p>
            <w:r/>
            <w:r>
              <w:rPr>
                <w:rFonts w:ascii="Aptos" w:hAnsi="Aptos"/>
                <w:b/>
                <w:color w:val="FFFFFF"/>
                <w:sz w:val="16"/>
              </w:rPr>
              <w:t>Failure class</w:t>
            </w:r>
          </w:p>
        </w:tc>
        <w:tc>
          <w:tcPr>
            <w:tcW w:type="dxa" w:w="3744"/>
            <w:vAlign w:val="top"/>
            <w:tcMar>
              <w:top w:w="80" w:type="dxa"/>
              <w:start w:w="100" w:type="dxa"/>
              <w:bottom w:w="80" w:type="dxa"/>
              <w:end w:w="100" w:type="dxa"/>
            </w:tcMar>
            <w:shd w:fill="174657"/>
          </w:tcPr>
          <w:p>
            <w:r/>
            <w:r>
              <w:rPr>
                <w:rFonts w:ascii="Aptos" w:hAnsi="Aptos"/>
                <w:b/>
                <w:color w:val="FFFFFF"/>
                <w:sz w:val="16"/>
              </w:rPr>
              <w:t>Permitted repair scope</w:t>
            </w:r>
          </w:p>
        </w:tc>
        <w:tc>
          <w:tcPr>
            <w:tcW w:type="dxa" w:w="3312"/>
            <w:vAlign w:val="top"/>
            <w:tcMar>
              <w:top w:w="80" w:type="dxa"/>
              <w:start w:w="100" w:type="dxa"/>
              <w:bottom w:w="80" w:type="dxa"/>
              <w:end w:w="100" w:type="dxa"/>
            </w:tcMar>
            <w:shd w:fill="174657"/>
          </w:tcPr>
          <w:p>
            <w:r/>
            <w:r>
              <w:rPr>
                <w:rFonts w:ascii="Aptos" w:hAnsi="Aptos"/>
                <w:b/>
                <w:color w:val="FFFFFF"/>
                <w:sz w:val="16"/>
              </w:rPr>
              <w:t>Forbidden response</w:t>
            </w:r>
          </w:p>
        </w:tc>
      </w:tr>
      <w:tr>
        <w:tc>
          <w:tcPr>
            <w:tcW w:type="dxa" w:w="2232"/>
            <w:vAlign w:val="top"/>
            <w:tcMar>
              <w:top w:w="80" w:type="dxa"/>
              <w:start w:w="100" w:type="dxa"/>
              <w:bottom w:w="80" w:type="dxa"/>
              <w:end w:w="100" w:type="dxa"/>
            </w:tcMar>
            <w:shd w:fill="FFFFFF"/>
          </w:tcPr>
          <w:p>
            <w:r/>
            <w:r>
              <w:rPr>
                <w:rFonts w:ascii="Aptos" w:hAnsi="Aptos"/>
                <w:b w:val="0"/>
                <w:color w:val="2F3337"/>
                <w:sz w:val="16"/>
              </w:rPr>
              <w:t>PRODUCT_DEFECT</w:t>
            </w:r>
          </w:p>
        </w:tc>
        <w:tc>
          <w:tcPr>
            <w:tcW w:type="dxa" w:w="3744"/>
            <w:vAlign w:val="top"/>
            <w:tcMar>
              <w:top w:w="80" w:type="dxa"/>
              <w:start w:w="100" w:type="dxa"/>
              <w:bottom w:w="80" w:type="dxa"/>
              <w:end w:w="100" w:type="dxa"/>
            </w:tcMar>
            <w:shd w:fill="FFFFFF"/>
          </w:tcPr>
          <w:p>
            <w:r/>
            <w:r>
              <w:rPr>
                <w:rFonts w:ascii="Aptos" w:hAnsi="Aptos"/>
                <w:b w:val="0"/>
                <w:color w:val="2F3337"/>
                <w:sz w:val="16"/>
              </w:rPr>
              <w:t>Smallest responsible production scope plus regression test and affected evidence.</w:t>
            </w:r>
          </w:p>
        </w:tc>
        <w:tc>
          <w:tcPr>
            <w:tcW w:type="dxa" w:w="3312"/>
            <w:vAlign w:val="top"/>
            <w:tcMar>
              <w:top w:w="80" w:type="dxa"/>
              <w:start w:w="100" w:type="dxa"/>
              <w:bottom w:w="80" w:type="dxa"/>
              <w:end w:w="100" w:type="dxa"/>
            </w:tcMar>
            <w:shd w:fill="FFFFFF"/>
          </w:tcPr>
          <w:p>
            <w:r/>
            <w:r>
              <w:rPr>
                <w:rFonts w:ascii="Aptos" w:hAnsi="Aptos"/>
                <w:b w:val="0"/>
                <w:color w:val="2F3337"/>
                <w:sz w:val="16"/>
              </w:rPr>
              <w:t>Changing only the test to hide a product failure.</w:t>
            </w:r>
          </w:p>
        </w:tc>
      </w:tr>
      <w:tr>
        <w:tc>
          <w:tcPr>
            <w:tcW w:type="dxa" w:w="2232"/>
            <w:vAlign w:val="top"/>
            <w:tcMar>
              <w:top w:w="80" w:type="dxa"/>
              <w:start w:w="100" w:type="dxa"/>
              <w:bottom w:w="80" w:type="dxa"/>
              <w:end w:w="100" w:type="dxa"/>
            </w:tcMar>
            <w:shd w:fill="F5F7F8"/>
          </w:tcPr>
          <w:p>
            <w:r/>
            <w:r>
              <w:rPr>
                <w:rFonts w:ascii="Aptos" w:hAnsi="Aptos"/>
                <w:b w:val="0"/>
                <w:color w:val="2F3337"/>
                <w:sz w:val="16"/>
              </w:rPr>
              <w:t>TEST_DEFECT</w:t>
            </w:r>
          </w:p>
        </w:tc>
        <w:tc>
          <w:tcPr>
            <w:tcW w:type="dxa" w:w="3744"/>
            <w:vAlign w:val="top"/>
            <w:tcMar>
              <w:top w:w="80" w:type="dxa"/>
              <w:start w:w="100" w:type="dxa"/>
              <w:bottom w:w="80" w:type="dxa"/>
              <w:end w:w="100" w:type="dxa"/>
            </w:tcMar>
            <w:shd w:fill="F5F7F8"/>
          </w:tcPr>
          <w:p>
            <w:r/>
            <w:r>
              <w:rPr>
                <w:rFonts w:ascii="Aptos" w:hAnsi="Aptos"/>
                <w:b w:val="0"/>
                <w:color w:val="2F3337"/>
                <w:sz w:val="16"/>
              </w:rPr>
              <w:t>Owning test/assertion/fixture and directly affected evidence.</w:t>
            </w:r>
          </w:p>
        </w:tc>
        <w:tc>
          <w:tcPr>
            <w:tcW w:type="dxa" w:w="3312"/>
            <w:vAlign w:val="top"/>
            <w:tcMar>
              <w:top w:w="80" w:type="dxa"/>
              <w:start w:w="100" w:type="dxa"/>
              <w:bottom w:w="80" w:type="dxa"/>
              <w:end w:w="100" w:type="dxa"/>
            </w:tcMar>
            <w:shd w:fill="F5F7F8"/>
          </w:tcPr>
          <w:p>
            <w:r/>
            <w:r>
              <w:rPr>
                <w:rFonts w:ascii="Aptos" w:hAnsi="Aptos"/>
                <w:b w:val="0"/>
                <w:color w:val="2F3337"/>
                <w:sz w:val="16"/>
              </w:rPr>
              <w:t>Changing production behavior without independent product-defect evidence.</w:t>
            </w:r>
          </w:p>
        </w:tc>
      </w:tr>
      <w:tr>
        <w:tc>
          <w:tcPr>
            <w:tcW w:type="dxa" w:w="2232"/>
            <w:vAlign w:val="top"/>
            <w:tcMar>
              <w:top w:w="80" w:type="dxa"/>
              <w:start w:w="100" w:type="dxa"/>
              <w:bottom w:w="80" w:type="dxa"/>
              <w:end w:w="100" w:type="dxa"/>
            </w:tcMar>
            <w:shd w:fill="FFFFFF"/>
          </w:tcPr>
          <w:p>
            <w:r/>
            <w:r>
              <w:rPr>
                <w:rFonts w:ascii="Aptos" w:hAnsi="Aptos"/>
                <w:b w:val="0"/>
                <w:color w:val="2F3337"/>
                <w:sz w:val="16"/>
              </w:rPr>
              <w:t>ENVIRONMENT_DEFECT</w:t>
            </w:r>
          </w:p>
        </w:tc>
        <w:tc>
          <w:tcPr>
            <w:tcW w:type="dxa" w:w="3744"/>
            <w:vAlign w:val="top"/>
            <w:tcMar>
              <w:top w:w="80" w:type="dxa"/>
              <w:start w:w="100" w:type="dxa"/>
              <w:bottom w:w="80" w:type="dxa"/>
              <w:end w:w="100" w:type="dxa"/>
            </w:tcMar>
            <w:shd w:fill="FFFFFF"/>
          </w:tcPr>
          <w:p>
            <w:r/>
            <w:r>
              <w:rPr>
                <w:rFonts w:ascii="Aptos" w:hAnsi="Aptos"/>
                <w:b w:val="0"/>
                <w:color w:val="2F3337"/>
                <w:sz w:val="16"/>
              </w:rPr>
              <w:t>Reference environment, environment declaration, provisioning, or rerun in qualified environment.</w:t>
            </w:r>
          </w:p>
        </w:tc>
        <w:tc>
          <w:tcPr>
            <w:tcW w:type="dxa" w:w="3312"/>
            <w:vAlign w:val="top"/>
            <w:tcMar>
              <w:top w:w="80" w:type="dxa"/>
              <w:start w:w="100" w:type="dxa"/>
              <w:bottom w:w="80" w:type="dxa"/>
              <w:end w:w="100" w:type="dxa"/>
            </w:tcMar>
            <w:shd w:fill="FFFFFF"/>
          </w:tcPr>
          <w:p>
            <w:r/>
            <w:r>
              <w:rPr>
                <w:rFonts w:ascii="Aptos" w:hAnsi="Aptos"/>
                <w:b w:val="0"/>
                <w:color w:val="2F3337"/>
                <w:sz w:val="16"/>
              </w:rPr>
              <w:t>Changing product semantics to accommodate contaminated local timing.</w:t>
            </w:r>
          </w:p>
        </w:tc>
      </w:tr>
      <w:tr>
        <w:tc>
          <w:tcPr>
            <w:tcW w:type="dxa" w:w="2232"/>
            <w:vAlign w:val="top"/>
            <w:tcMar>
              <w:top w:w="80" w:type="dxa"/>
              <w:start w:w="100" w:type="dxa"/>
              <w:bottom w:w="80" w:type="dxa"/>
              <w:end w:w="100" w:type="dxa"/>
            </w:tcMar>
            <w:shd w:fill="F5F7F8"/>
          </w:tcPr>
          <w:p>
            <w:r/>
            <w:r>
              <w:rPr>
                <w:rFonts w:ascii="Aptos" w:hAnsi="Aptos"/>
                <w:b w:val="0"/>
                <w:color w:val="2F3337"/>
                <w:sz w:val="16"/>
              </w:rPr>
              <w:t>INFRASTRUCTURE_DEFECT</w:t>
            </w:r>
          </w:p>
        </w:tc>
        <w:tc>
          <w:tcPr>
            <w:tcW w:type="dxa" w:w="3744"/>
            <w:vAlign w:val="top"/>
            <w:tcMar>
              <w:top w:w="80" w:type="dxa"/>
              <w:start w:w="100" w:type="dxa"/>
              <w:bottom w:w="80" w:type="dxa"/>
              <w:end w:w="100" w:type="dxa"/>
            </w:tcMar>
            <w:shd w:fill="F5F7F8"/>
          </w:tcPr>
          <w:p>
            <w:r/>
            <w:r>
              <w:rPr>
                <w:rFonts w:ascii="Aptos" w:hAnsi="Aptos"/>
                <w:b w:val="0"/>
                <w:color w:val="2F3337"/>
                <w:sz w:val="16"/>
              </w:rPr>
              <w:t>Sounding Line runtime/broker/executor/infrastructure owner.</w:t>
            </w:r>
          </w:p>
        </w:tc>
        <w:tc>
          <w:tcPr>
            <w:tcW w:type="dxa" w:w="3312"/>
            <w:vAlign w:val="top"/>
            <w:tcMar>
              <w:top w:w="80" w:type="dxa"/>
              <w:start w:w="100" w:type="dxa"/>
              <w:bottom w:w="80" w:type="dxa"/>
              <w:end w:w="100" w:type="dxa"/>
            </w:tcMar>
            <w:shd w:fill="F5F7F8"/>
          </w:tcPr>
          <w:p>
            <w:r/>
            <w:r>
              <w:rPr>
                <w:rFonts w:ascii="Aptos" w:hAnsi="Aptos"/>
                <w:b w:val="0"/>
                <w:color w:val="2F3337"/>
                <w:sz w:val="16"/>
              </w:rPr>
              <w:t>Feature project refactor unless product defect separately proven.</w:t>
            </w:r>
          </w:p>
        </w:tc>
      </w:tr>
      <w:tr>
        <w:tc>
          <w:tcPr>
            <w:tcW w:type="dxa" w:w="2232"/>
            <w:vAlign w:val="top"/>
            <w:tcMar>
              <w:top w:w="80" w:type="dxa"/>
              <w:start w:w="100" w:type="dxa"/>
              <w:bottom w:w="80" w:type="dxa"/>
              <w:end w:w="100" w:type="dxa"/>
            </w:tcMar>
            <w:shd w:fill="FFFFFF"/>
          </w:tcPr>
          <w:p>
            <w:r/>
            <w:r>
              <w:rPr>
                <w:rFonts w:ascii="Aptos" w:hAnsi="Aptos"/>
                <w:b w:val="0"/>
                <w:color w:val="2F3337"/>
                <w:sz w:val="16"/>
              </w:rPr>
              <w:t>INFRASTRUCTURE_CONTENTION</w:t>
            </w:r>
          </w:p>
        </w:tc>
        <w:tc>
          <w:tcPr>
            <w:tcW w:type="dxa" w:w="3744"/>
            <w:vAlign w:val="top"/>
            <w:tcMar>
              <w:top w:w="80" w:type="dxa"/>
              <w:start w:w="100" w:type="dxa"/>
              <w:bottom w:w="80" w:type="dxa"/>
              <w:end w:w="100" w:type="dxa"/>
            </w:tcMar>
            <w:shd w:fill="FFFFFF"/>
          </w:tcPr>
          <w:p>
            <w:r/>
            <w:r>
              <w:rPr>
                <w:rFonts w:ascii="Aptos" w:hAnsi="Aptos"/>
                <w:b w:val="0"/>
                <w:color w:val="2F3337"/>
                <w:sz w:val="16"/>
              </w:rPr>
              <w:t>Scheduler/broker queue; wait or route to another lane.</w:t>
            </w:r>
          </w:p>
        </w:tc>
        <w:tc>
          <w:tcPr>
            <w:tcW w:type="dxa" w:w="3312"/>
            <w:vAlign w:val="top"/>
            <w:tcMar>
              <w:top w:w="80" w:type="dxa"/>
              <w:start w:w="100" w:type="dxa"/>
              <w:bottom w:w="80" w:type="dxa"/>
              <w:end w:w="100" w:type="dxa"/>
            </w:tcMar>
            <w:shd w:fill="FFFFFF"/>
          </w:tcPr>
          <w:p>
            <w:r/>
            <w:r>
              <w:rPr>
                <w:rFonts w:ascii="Aptos" w:hAnsi="Aptos"/>
                <w:b w:val="0"/>
                <w:color w:val="2F3337"/>
                <w:sz w:val="16"/>
              </w:rPr>
              <w:t>Editing test/product to “fix” an occupied port or lease.</w:t>
            </w:r>
          </w:p>
        </w:tc>
      </w:tr>
      <w:tr>
        <w:tc>
          <w:tcPr>
            <w:tcW w:type="dxa" w:w="2232"/>
            <w:vAlign w:val="top"/>
            <w:tcMar>
              <w:top w:w="80" w:type="dxa"/>
              <w:start w:w="100" w:type="dxa"/>
              <w:bottom w:w="80" w:type="dxa"/>
              <w:end w:w="100" w:type="dxa"/>
            </w:tcMar>
            <w:shd w:fill="F5F7F8"/>
          </w:tcPr>
          <w:p>
            <w:r/>
            <w:r>
              <w:rPr>
                <w:rFonts w:ascii="Aptos" w:hAnsi="Aptos"/>
                <w:b w:val="0"/>
                <w:color w:val="2F3337"/>
                <w:sz w:val="16"/>
              </w:rPr>
              <w:t>TIMEOUT</w:t>
            </w:r>
          </w:p>
        </w:tc>
        <w:tc>
          <w:tcPr>
            <w:tcW w:type="dxa" w:w="3744"/>
            <w:vAlign w:val="top"/>
            <w:tcMar>
              <w:top w:w="80" w:type="dxa"/>
              <w:start w:w="100" w:type="dxa"/>
              <w:bottom w:w="80" w:type="dxa"/>
              <w:end w:w="100" w:type="dxa"/>
            </w:tcMar>
            <w:shd w:fill="F5F7F8"/>
          </w:tcPr>
          <w:p>
            <w:r/>
            <w:r>
              <w:rPr>
                <w:rFonts w:ascii="Aptos" w:hAnsi="Aptos"/>
                <w:b w:val="0"/>
                <w:color w:val="2F3337"/>
                <w:sz w:val="16"/>
              </w:rPr>
              <w:t>Diagnose product hang, test wait, environment pressure, or budget mismatch first.</w:t>
            </w:r>
          </w:p>
        </w:tc>
        <w:tc>
          <w:tcPr>
            <w:tcW w:type="dxa" w:w="3312"/>
            <w:vAlign w:val="top"/>
            <w:tcMar>
              <w:top w:w="80" w:type="dxa"/>
              <w:start w:w="100" w:type="dxa"/>
              <w:bottom w:w="80" w:type="dxa"/>
              <w:end w:w="100" w:type="dxa"/>
            </w:tcMar>
            <w:shd w:fill="F5F7F8"/>
          </w:tcPr>
          <w:p>
            <w:r/>
            <w:r>
              <w:rPr>
                <w:rFonts w:ascii="Aptos" w:hAnsi="Aptos"/>
                <w:b w:val="0"/>
                <w:color w:val="2F3337"/>
                <w:sz w:val="16"/>
              </w:rPr>
              <w:t>Blind timeout increase or retry loop.</w:t>
            </w:r>
          </w:p>
        </w:tc>
      </w:tr>
      <w:tr>
        <w:tc>
          <w:tcPr>
            <w:tcW w:type="dxa" w:w="2232"/>
            <w:vAlign w:val="top"/>
            <w:tcMar>
              <w:top w:w="80" w:type="dxa"/>
              <w:start w:w="100" w:type="dxa"/>
              <w:bottom w:w="80" w:type="dxa"/>
              <w:end w:w="100" w:type="dxa"/>
            </w:tcMar>
            <w:shd w:fill="FFFFFF"/>
          </w:tcPr>
          <w:p>
            <w:r/>
            <w:r>
              <w:rPr>
                <w:rFonts w:ascii="Aptos" w:hAnsi="Aptos"/>
                <w:b w:val="0"/>
                <w:color w:val="2F3337"/>
                <w:sz w:val="16"/>
              </w:rPr>
              <w:t>STALE_TEST</w:t>
            </w:r>
          </w:p>
        </w:tc>
        <w:tc>
          <w:tcPr>
            <w:tcW w:type="dxa" w:w="3744"/>
            <w:vAlign w:val="top"/>
            <w:tcMar>
              <w:top w:w="80" w:type="dxa"/>
              <w:start w:w="100" w:type="dxa"/>
              <w:bottom w:w="80" w:type="dxa"/>
              <w:end w:w="100" w:type="dxa"/>
            </w:tcMar>
            <w:shd w:fill="FFFFFF"/>
          </w:tcPr>
          <w:p>
            <w:r/>
            <w:r>
              <w:rPr>
                <w:rFonts w:ascii="Aptos" w:hAnsi="Aptos"/>
                <w:b w:val="0"/>
                <w:color w:val="2F3337"/>
                <w:sz w:val="16"/>
              </w:rPr>
              <w:t>Migrate assertion to current authoritative contract while preserving risk.</w:t>
            </w:r>
          </w:p>
        </w:tc>
        <w:tc>
          <w:tcPr>
            <w:tcW w:type="dxa" w:w="3312"/>
            <w:vAlign w:val="top"/>
            <w:tcMar>
              <w:top w:w="80" w:type="dxa"/>
              <w:start w:w="100" w:type="dxa"/>
              <w:bottom w:w="80" w:type="dxa"/>
              <w:end w:w="100" w:type="dxa"/>
            </w:tcMar>
            <w:shd w:fill="FFFFFF"/>
          </w:tcPr>
          <w:p>
            <w:r/>
            <w:r>
              <w:rPr>
                <w:rFonts w:ascii="Aptos" w:hAnsi="Aptos"/>
                <w:b w:val="0"/>
                <w:color w:val="2F3337"/>
                <w:sz w:val="16"/>
              </w:rPr>
              <w:t>Restoring retired behavior just to make an old test pass.</w:t>
            </w:r>
          </w:p>
        </w:tc>
      </w:tr>
    </w:tbl>
    <w:p/>
    <w:p>
      <w:pPr>
        <w:pStyle w:val="Body"/>
      </w:pPr>
      <w:r>
        <w:t>The classification must be recorded before source mutation when the distinction changes which owner is allowed to repair the failure.</w:t>
      </w:r>
    </w:p>
    <w:p>
      <w:r>
        <w:br w:type="page"/>
      </w:r>
    </w:p>
    <w:p>
      <w:pPr>
        <w:pStyle w:val="Heading1"/>
        <w:pBdr>
          <w:bottom w:val="single" w:sz="18" w:space="4" w:color="2E7D7A"/>
        </w:pBdr>
      </w:pPr>
      <w:r>
        <w:rPr>
          <w:color w:val="174657"/>
        </w:rPr>
        <w:t>6. Evidence Carry-Forward and Rebinding</w:t>
      </w:r>
    </w:p>
    <w:p>
      <w:pPr>
        <w:pStyle w:val="Body"/>
      </w:pPr>
      <w:r>
        <w:t>Prior receipts remain immutable and source-bound. Carry-forward never edits the old receipt. It creates a new source-bound proof that references the old receipt and the invalidation analysis.</w:t>
      </w:r>
    </w:p>
    <w:tbl>
      <w:tblPr>
        <w:tblW w:type="auto" w:w="0"/>
        <w:jc w:val="center"/>
        <w:tblLayout w:type="fixed"/>
        <w:tblLook w:firstColumn="1" w:firstRow="1" w:lastColumn="0" w:lastRow="0" w:noHBand="0" w:noVBand="1" w:val="04A0"/>
      </w:tblPr>
      <w:tblGrid>
        <w:gridCol w:w="9288"/>
      </w:tblGrid>
      <w:tr>
        <w:tc>
          <w:tcPr>
            <w:tcW w:type="dxa" w:w="10368"/>
            <w:shd w:fill="F5F7F8"/>
            <w:tcMar>
              <w:top w:w="100" w:type="dxa"/>
              <w:start w:w="130" w:type="dxa"/>
              <w:bottom w:w="100" w:type="dxa"/>
              <w:end w:w="130" w:type="dxa"/>
            </w:tcMar>
          </w:tcPr>
          <w:p>
            <w:r/>
            <w:r>
              <w:rPr>
                <w:rFonts w:ascii="Consolas" w:hAnsi="Consolas"/>
                <w:color w:val="2F3337"/>
                <w:sz w:val="16"/>
              </w:rPr>
              <w:t>Receipt R1 @ SHA A = PASSED/CLEAN</w:t>
              <w:br/>
              <w:t>A -&gt; B diff analysis = no dependency of R1 changed</w:t>
              <w:br/>
              <w:t>CarryForward CF1 @ SHA B references R1</w:t>
              <w:br/>
              <w:t>CF1 disposition = PRESERVED</w:t>
              <w:br/>
              <w:t>Finalizer @ B consumes CF1 + fresh invalidated-node receipts</w:t>
              <w:br/>
              <w:t>R1 remains immutable historical evidence</w:t>
            </w:r>
          </w:p>
        </w:tc>
      </w:tr>
    </w:tbl>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592"/>
            <w:vAlign w:val="top"/>
            <w:tcMar>
              <w:top w:w="80" w:type="dxa"/>
              <w:start w:w="100" w:type="dxa"/>
              <w:bottom w:w="80" w:type="dxa"/>
              <w:end w:w="100" w:type="dxa"/>
            </w:tcMar>
            <w:shd w:fill="174657"/>
          </w:tcPr>
          <w:p>
            <w:r/>
            <w:r>
              <w:rPr>
                <w:rFonts w:ascii="Aptos" w:hAnsi="Aptos"/>
                <w:b/>
                <w:color w:val="FFFFFF"/>
                <w:sz w:val="16"/>
              </w:rPr>
              <w:t>Carry-forward record field</w:t>
            </w:r>
          </w:p>
        </w:tc>
        <w:tc>
          <w:tcPr>
            <w:tcW w:type="dxa" w:w="6696"/>
            <w:vAlign w:val="top"/>
            <w:tcMar>
              <w:top w:w="80" w:type="dxa"/>
              <w:start w:w="100" w:type="dxa"/>
              <w:bottom w:w="80" w:type="dxa"/>
              <w:end w:w="100" w:type="dxa"/>
            </w:tcMar>
            <w:shd w:fill="174657"/>
          </w:tcPr>
          <w:p>
            <w:r/>
            <w:r>
              <w:rPr>
                <w:rFonts w:ascii="Aptos" w:hAnsi="Aptos"/>
                <w:b/>
                <w:color w:val="FFFFFF"/>
                <w:sz w:val="16"/>
              </w:rPr>
              <w:t>Requirement</w:t>
            </w:r>
          </w:p>
        </w:tc>
      </w:tr>
      <w:tr>
        <w:tc>
          <w:tcPr>
            <w:tcW w:type="dxa" w:w="2592"/>
            <w:vAlign w:val="top"/>
            <w:tcMar>
              <w:top w:w="80" w:type="dxa"/>
              <w:start w:w="100" w:type="dxa"/>
              <w:bottom w:w="80" w:type="dxa"/>
              <w:end w:w="100" w:type="dxa"/>
            </w:tcMar>
            <w:shd w:fill="FFFFFF"/>
          </w:tcPr>
          <w:p>
            <w:r/>
            <w:r>
              <w:rPr>
                <w:rFonts w:ascii="Aptos" w:hAnsi="Aptos"/>
                <w:b w:val="0"/>
                <w:color w:val="2F3337"/>
                <w:sz w:val="16"/>
              </w:rPr>
              <w:t>newSourceSha</w:t>
            </w:r>
          </w:p>
        </w:tc>
        <w:tc>
          <w:tcPr>
            <w:tcW w:type="dxa" w:w="6696"/>
            <w:vAlign w:val="top"/>
            <w:tcMar>
              <w:top w:w="80" w:type="dxa"/>
              <w:start w:w="100" w:type="dxa"/>
              <w:bottom w:w="80" w:type="dxa"/>
              <w:end w:w="100" w:type="dxa"/>
            </w:tcMar>
            <w:shd w:fill="FFFFFF"/>
          </w:tcPr>
          <w:p>
            <w:r/>
            <w:r>
              <w:rPr>
                <w:rFonts w:ascii="Aptos" w:hAnsi="Aptos"/>
                <w:b w:val="0"/>
                <w:color w:val="2F3337"/>
                <w:sz w:val="16"/>
              </w:rPr>
              <w:t>Exact candidate or integrated SHA receiving the preserved evidence.</w:t>
            </w:r>
          </w:p>
        </w:tc>
      </w:tr>
      <w:tr>
        <w:tc>
          <w:tcPr>
            <w:tcW w:type="dxa" w:w="2592"/>
            <w:vAlign w:val="top"/>
            <w:tcMar>
              <w:top w:w="80" w:type="dxa"/>
              <w:start w:w="100" w:type="dxa"/>
              <w:bottom w:w="80" w:type="dxa"/>
              <w:end w:w="100" w:type="dxa"/>
            </w:tcMar>
            <w:shd w:fill="F5F7F8"/>
          </w:tcPr>
          <w:p>
            <w:r/>
            <w:r>
              <w:rPr>
                <w:rFonts w:ascii="Aptos" w:hAnsi="Aptos"/>
                <w:b w:val="0"/>
                <w:color w:val="2F3337"/>
                <w:sz w:val="16"/>
              </w:rPr>
              <w:t>priorReceiptDigest</w:t>
            </w:r>
          </w:p>
        </w:tc>
        <w:tc>
          <w:tcPr>
            <w:tcW w:type="dxa" w:w="6696"/>
            <w:vAlign w:val="top"/>
            <w:tcMar>
              <w:top w:w="80" w:type="dxa"/>
              <w:start w:w="100" w:type="dxa"/>
              <w:bottom w:w="80" w:type="dxa"/>
              <w:end w:w="100" w:type="dxa"/>
            </w:tcMar>
            <w:shd w:fill="F5F7F8"/>
          </w:tcPr>
          <w:p>
            <w:r/>
            <w:r>
              <w:rPr>
                <w:rFonts w:ascii="Aptos" w:hAnsi="Aptos"/>
                <w:b w:val="0"/>
                <w:color w:val="2F3337"/>
                <w:sz w:val="16"/>
              </w:rPr>
              <w:t>Digest of immutable source receipt.</w:t>
            </w:r>
          </w:p>
        </w:tc>
      </w:tr>
      <w:tr>
        <w:tc>
          <w:tcPr>
            <w:tcW w:type="dxa" w:w="2592"/>
            <w:vAlign w:val="top"/>
            <w:tcMar>
              <w:top w:w="80" w:type="dxa"/>
              <w:start w:w="100" w:type="dxa"/>
              <w:bottom w:w="80" w:type="dxa"/>
              <w:end w:w="100" w:type="dxa"/>
            </w:tcMar>
            <w:shd w:fill="FFFFFF"/>
          </w:tcPr>
          <w:p>
            <w:r/>
            <w:r>
              <w:rPr>
                <w:rFonts w:ascii="Aptos" w:hAnsi="Aptos"/>
                <w:b w:val="0"/>
                <w:color w:val="2F3337"/>
                <w:sz w:val="16"/>
              </w:rPr>
              <w:t>protectedContracts</w:t>
            </w:r>
          </w:p>
        </w:tc>
        <w:tc>
          <w:tcPr>
            <w:tcW w:type="dxa" w:w="6696"/>
            <w:vAlign w:val="top"/>
            <w:tcMar>
              <w:top w:w="80" w:type="dxa"/>
              <w:start w:w="100" w:type="dxa"/>
              <w:bottom w:w="80" w:type="dxa"/>
              <w:end w:w="100" w:type="dxa"/>
            </w:tcMar>
            <w:shd w:fill="FFFFFF"/>
          </w:tcPr>
          <w:p>
            <w:r/>
            <w:r>
              <w:rPr>
                <w:rFonts w:ascii="Aptos" w:hAnsi="Aptos"/>
                <w:b w:val="0"/>
                <w:color w:val="2F3337"/>
                <w:sz w:val="16"/>
              </w:rPr>
              <w:t>Contract IDs/suite IDs proven by prior receipt.</w:t>
            </w:r>
          </w:p>
        </w:tc>
      </w:tr>
      <w:tr>
        <w:tc>
          <w:tcPr>
            <w:tcW w:type="dxa" w:w="2592"/>
            <w:vAlign w:val="top"/>
            <w:tcMar>
              <w:top w:w="80" w:type="dxa"/>
              <w:start w:w="100" w:type="dxa"/>
              <w:bottom w:w="80" w:type="dxa"/>
              <w:end w:w="100" w:type="dxa"/>
            </w:tcMar>
            <w:shd w:fill="F5F7F8"/>
          </w:tcPr>
          <w:p>
            <w:r/>
            <w:r>
              <w:rPr>
                <w:rFonts w:ascii="Aptos" w:hAnsi="Aptos"/>
                <w:b w:val="0"/>
                <w:color w:val="2F3337"/>
                <w:sz w:val="16"/>
              </w:rPr>
              <w:t>dependencyFingerprint</w:t>
            </w:r>
          </w:p>
        </w:tc>
        <w:tc>
          <w:tcPr>
            <w:tcW w:type="dxa" w:w="6696"/>
            <w:vAlign w:val="top"/>
            <w:tcMar>
              <w:top w:w="80" w:type="dxa"/>
              <w:start w:w="100" w:type="dxa"/>
              <w:bottom w:w="80" w:type="dxa"/>
              <w:end w:w="100" w:type="dxa"/>
            </w:tcMar>
            <w:shd w:fill="F5F7F8"/>
          </w:tcPr>
          <w:p>
            <w:r/>
            <w:r>
              <w:rPr>
                <w:rFonts w:ascii="Aptos" w:hAnsi="Aptos"/>
                <w:b w:val="0"/>
                <w:color w:val="2F3337"/>
                <w:sz w:val="16"/>
              </w:rPr>
              <w:t>Source/policy/fixture/resource/environment dependencies checked.</w:t>
            </w:r>
          </w:p>
        </w:tc>
      </w:tr>
      <w:tr>
        <w:tc>
          <w:tcPr>
            <w:tcW w:type="dxa" w:w="2592"/>
            <w:vAlign w:val="top"/>
            <w:tcMar>
              <w:top w:w="80" w:type="dxa"/>
              <w:start w:w="100" w:type="dxa"/>
              <w:bottom w:w="80" w:type="dxa"/>
              <w:end w:w="100" w:type="dxa"/>
            </w:tcMar>
            <w:shd w:fill="FFFFFF"/>
          </w:tcPr>
          <w:p>
            <w:r/>
            <w:r>
              <w:rPr>
                <w:rFonts w:ascii="Aptos" w:hAnsi="Aptos"/>
                <w:b w:val="0"/>
                <w:color w:val="2F3337"/>
                <w:sz w:val="16"/>
              </w:rPr>
              <w:t>disposition</w:t>
            </w:r>
          </w:p>
        </w:tc>
        <w:tc>
          <w:tcPr>
            <w:tcW w:type="dxa" w:w="6696"/>
            <w:vAlign w:val="top"/>
            <w:tcMar>
              <w:top w:w="80" w:type="dxa"/>
              <w:start w:w="100" w:type="dxa"/>
              <w:bottom w:w="80" w:type="dxa"/>
              <w:end w:w="100" w:type="dxa"/>
            </w:tcMar>
            <w:shd w:fill="FFFFFF"/>
          </w:tcPr>
          <w:p>
            <w:r/>
            <w:r>
              <w:rPr>
                <w:rFonts w:ascii="Aptos" w:hAnsi="Aptos"/>
                <w:b w:val="0"/>
                <w:color w:val="2F3337"/>
                <w:sz w:val="16"/>
              </w:rPr>
              <w:t>PRESERVED, INVALIDATED, REBOUND, or SUPERSEDED.</w:t>
            </w:r>
          </w:p>
        </w:tc>
      </w:tr>
      <w:tr>
        <w:tc>
          <w:tcPr>
            <w:tcW w:type="dxa" w:w="2592"/>
            <w:vAlign w:val="top"/>
            <w:tcMar>
              <w:top w:w="80" w:type="dxa"/>
              <w:start w:w="100" w:type="dxa"/>
              <w:bottom w:w="80" w:type="dxa"/>
              <w:end w:w="100" w:type="dxa"/>
            </w:tcMar>
            <w:shd w:fill="F5F7F8"/>
          </w:tcPr>
          <w:p>
            <w:r/>
            <w:r>
              <w:rPr>
                <w:rFonts w:ascii="Aptos" w:hAnsi="Aptos"/>
                <w:b w:val="0"/>
                <w:color w:val="2F3337"/>
                <w:sz w:val="16"/>
              </w:rPr>
              <w:t>reason</w:t>
            </w:r>
          </w:p>
        </w:tc>
        <w:tc>
          <w:tcPr>
            <w:tcW w:type="dxa" w:w="6696"/>
            <w:vAlign w:val="top"/>
            <w:tcMar>
              <w:top w:w="80" w:type="dxa"/>
              <w:start w:w="100" w:type="dxa"/>
              <w:bottom w:w="80" w:type="dxa"/>
              <w:end w:w="100" w:type="dxa"/>
            </w:tcMar>
            <w:shd w:fill="F5F7F8"/>
          </w:tcPr>
          <w:p>
            <w:r/>
            <w:r>
              <w:rPr>
                <w:rFonts w:ascii="Aptos" w:hAnsi="Aptos"/>
                <w:b w:val="0"/>
                <w:color w:val="2F3337"/>
                <w:sz w:val="16"/>
              </w:rPr>
              <w:t>Machine-readable reason plus human-readable explanation.</w:t>
            </w:r>
          </w:p>
        </w:tc>
      </w:tr>
      <w:tr>
        <w:tc>
          <w:tcPr>
            <w:tcW w:type="dxa" w:w="2592"/>
            <w:vAlign w:val="top"/>
            <w:tcMar>
              <w:top w:w="80" w:type="dxa"/>
              <w:start w:w="100" w:type="dxa"/>
              <w:bottom w:w="80" w:type="dxa"/>
              <w:end w:w="100" w:type="dxa"/>
            </w:tcMar>
            <w:shd w:fill="FFFFFF"/>
          </w:tcPr>
          <w:p>
            <w:r/>
            <w:r>
              <w:rPr>
                <w:rFonts w:ascii="Aptos" w:hAnsi="Aptos"/>
                <w:b w:val="0"/>
                <w:color w:val="2F3337"/>
                <w:sz w:val="16"/>
              </w:rPr>
              <w:t>plannerVersion</w:t>
            </w:r>
          </w:p>
        </w:tc>
        <w:tc>
          <w:tcPr>
            <w:tcW w:type="dxa" w:w="6696"/>
            <w:vAlign w:val="top"/>
            <w:tcMar>
              <w:top w:w="80" w:type="dxa"/>
              <w:start w:w="100" w:type="dxa"/>
              <w:bottom w:w="80" w:type="dxa"/>
              <w:end w:w="100" w:type="dxa"/>
            </w:tcMar>
            <w:shd w:fill="FFFFFF"/>
          </w:tcPr>
          <w:p>
            <w:r/>
            <w:r>
              <w:rPr>
                <w:rFonts w:ascii="Aptos" w:hAnsi="Aptos"/>
                <w:b w:val="0"/>
                <w:color w:val="2F3337"/>
                <w:sz w:val="16"/>
              </w:rPr>
              <w:t>Exact policy/planner identity that authorized the disposition.</w:t>
            </w:r>
          </w:p>
        </w:tc>
      </w:tr>
      <w:tr>
        <w:tc>
          <w:tcPr>
            <w:tcW w:type="dxa" w:w="2592"/>
            <w:vAlign w:val="top"/>
            <w:tcMar>
              <w:top w:w="80" w:type="dxa"/>
              <w:start w:w="100" w:type="dxa"/>
              <w:bottom w:w="80" w:type="dxa"/>
              <w:end w:w="100" w:type="dxa"/>
            </w:tcMar>
            <w:shd w:fill="F5F7F8"/>
          </w:tcPr>
          <w:p>
            <w:r/>
            <w:r>
              <w:rPr>
                <w:rFonts w:ascii="Aptos" w:hAnsi="Aptos"/>
                <w:b w:val="0"/>
                <w:color w:val="2F3337"/>
                <w:sz w:val="16"/>
              </w:rPr>
              <w:t>createdAt / actor</w:t>
            </w:r>
          </w:p>
        </w:tc>
        <w:tc>
          <w:tcPr>
            <w:tcW w:type="dxa" w:w="6696"/>
            <w:vAlign w:val="top"/>
            <w:tcMar>
              <w:top w:w="80" w:type="dxa"/>
              <w:start w:w="100" w:type="dxa"/>
              <w:bottom w:w="80" w:type="dxa"/>
              <w:end w:w="100" w:type="dxa"/>
            </w:tcMar>
            <w:shd w:fill="F5F7F8"/>
          </w:tcPr>
          <w:p>
            <w:r/>
            <w:r>
              <w:rPr>
                <w:rFonts w:ascii="Aptos" w:hAnsi="Aptos"/>
                <w:b w:val="0"/>
                <w:color w:val="2F3337"/>
                <w:sz w:val="16"/>
              </w:rPr>
              <w:t>Auditable time and authority.</w:t>
            </w:r>
          </w:p>
        </w:tc>
      </w:tr>
    </w:tbl>
    <w:p/>
    <w:p>
      <w:r>
        <w:br w:type="page"/>
      </w:r>
    </w:p>
    <w:p>
      <w:pPr>
        <w:pStyle w:val="Heading1"/>
        <w:pBdr>
          <w:bottom w:val="single" w:sz="18" w:space="4" w:color="2E7D7A"/>
        </w:pBdr>
      </w:pPr>
      <w:r>
        <w:rPr>
          <w:color w:val="174657"/>
        </w:rPr>
        <w:t>7. Release Confidence Composition</w:t>
      </w:r>
    </w:p>
    <w:p>
      <w:pPr>
        <w:pStyle w:val="Body"/>
      </w:pPr>
      <w:r>
        <w:t>A release or mainline decision may be composed from fresh receipts and carried-forward receipts when every mandatory evidence obligation resolves to one valid source-bound producer.</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vAlign w:val="top"/>
            <w:tcMar>
              <w:top w:w="80" w:type="dxa"/>
              <w:start w:w="100" w:type="dxa"/>
              <w:bottom w:w="80" w:type="dxa"/>
              <w:end w:w="100" w:type="dxa"/>
            </w:tcMar>
            <w:shd w:fill="174657"/>
          </w:tcPr>
          <w:p>
            <w:r/>
            <w:r>
              <w:rPr>
                <w:rFonts w:ascii="Aptos" w:hAnsi="Aptos"/>
                <w:b/>
                <w:color w:val="FFFFFF"/>
                <w:sz w:val="16"/>
              </w:rPr>
              <w:t>Evidence state</w:t>
            </w:r>
          </w:p>
        </w:tc>
        <w:tc>
          <w:tcPr>
            <w:tcW w:type="dxa" w:w="1728"/>
            <w:vAlign w:val="top"/>
            <w:tcMar>
              <w:top w:w="80" w:type="dxa"/>
              <w:start w:w="100" w:type="dxa"/>
              <w:bottom w:w="80" w:type="dxa"/>
              <w:end w:w="100" w:type="dxa"/>
            </w:tcMar>
            <w:shd w:fill="174657"/>
          </w:tcPr>
          <w:p>
            <w:r/>
            <w:r>
              <w:rPr>
                <w:rFonts w:ascii="Aptos" w:hAnsi="Aptos"/>
                <w:b/>
                <w:color w:val="FFFFFF"/>
                <w:sz w:val="16"/>
              </w:rPr>
              <w:t>May contribute to gate?</w:t>
            </w:r>
          </w:p>
        </w:tc>
        <w:tc>
          <w:tcPr>
            <w:tcW w:type="dxa" w:w="4680"/>
            <w:vAlign w:val="top"/>
            <w:tcMar>
              <w:top w:w="80" w:type="dxa"/>
              <w:start w:w="100" w:type="dxa"/>
              <w:bottom w:w="80" w:type="dxa"/>
              <w:end w:w="100" w:type="dxa"/>
            </w:tcMar>
            <w:shd w:fill="174657"/>
          </w:tcPr>
          <w:p>
            <w:r/>
            <w:r>
              <w:rPr>
                <w:rFonts w:ascii="Aptos" w:hAnsi="Aptos"/>
                <w:b/>
                <w:color w:val="FFFFFF"/>
                <w:sz w:val="16"/>
              </w:rPr>
              <w:t>Condition</w:t>
            </w:r>
          </w:p>
        </w:tc>
      </w:tr>
      <w:tr>
        <w:tc>
          <w:tcPr>
            <w:tcW w:type="dxa" w:w="2880"/>
            <w:vAlign w:val="top"/>
            <w:tcMar>
              <w:top w:w="80" w:type="dxa"/>
              <w:start w:w="100" w:type="dxa"/>
              <w:bottom w:w="80" w:type="dxa"/>
              <w:end w:w="100" w:type="dxa"/>
            </w:tcMar>
            <w:shd w:fill="FFFFFF"/>
          </w:tcPr>
          <w:p>
            <w:r/>
            <w:r>
              <w:rPr>
                <w:rFonts w:ascii="Aptos" w:hAnsi="Aptos"/>
                <w:b w:val="0"/>
                <w:color w:val="2F3337"/>
                <w:sz w:val="16"/>
              </w:rPr>
              <w:t>Fresh PASSED/CLEAN</w:t>
            </w:r>
          </w:p>
        </w:tc>
        <w:tc>
          <w:tcPr>
            <w:tcW w:type="dxa" w:w="1728"/>
            <w:vAlign w:val="top"/>
            <w:tcMar>
              <w:top w:w="80" w:type="dxa"/>
              <w:start w:w="100" w:type="dxa"/>
              <w:bottom w:w="80" w:type="dxa"/>
              <w:end w:w="100" w:type="dxa"/>
            </w:tcMar>
            <w:shd w:fill="FFFFFF"/>
          </w:tcPr>
          <w:p>
            <w:r/>
            <w:r>
              <w:rPr>
                <w:rFonts w:ascii="Aptos" w:hAnsi="Aptos"/>
                <w:b w:val="0"/>
                <w:color w:val="2F3337"/>
                <w:sz w:val="16"/>
              </w:rPr>
              <w:t>Yes</w:t>
            </w:r>
          </w:p>
        </w:tc>
        <w:tc>
          <w:tcPr>
            <w:tcW w:type="dxa" w:w="4680"/>
            <w:vAlign w:val="top"/>
            <w:tcMar>
              <w:top w:w="80" w:type="dxa"/>
              <w:start w:w="100" w:type="dxa"/>
              <w:bottom w:w="80" w:type="dxa"/>
              <w:end w:w="100" w:type="dxa"/>
            </w:tcMar>
            <w:shd w:fill="FFFFFF"/>
          </w:tcPr>
          <w:p>
            <w:r/>
            <w:r>
              <w:rPr>
                <w:rFonts w:ascii="Aptos" w:hAnsi="Aptos"/>
                <w:b w:val="0"/>
                <w:color w:val="2F3337"/>
                <w:sz w:val="16"/>
              </w:rPr>
              <w:t>Receipt matches exact source/policy/environment requirement.</w:t>
            </w:r>
          </w:p>
        </w:tc>
      </w:tr>
      <w:tr>
        <w:tc>
          <w:tcPr>
            <w:tcW w:type="dxa" w:w="2880"/>
            <w:vAlign w:val="top"/>
            <w:tcMar>
              <w:top w:w="80" w:type="dxa"/>
              <w:start w:w="100" w:type="dxa"/>
              <w:bottom w:w="80" w:type="dxa"/>
              <w:end w:w="100" w:type="dxa"/>
            </w:tcMar>
            <w:shd w:fill="F5F7F8"/>
          </w:tcPr>
          <w:p>
            <w:r/>
            <w:r>
              <w:rPr>
                <w:rFonts w:ascii="Aptos" w:hAnsi="Aptos"/>
                <w:b w:val="0"/>
                <w:color w:val="2F3337"/>
                <w:sz w:val="16"/>
              </w:rPr>
              <w:t>PRESERVED via carry-forward</w:t>
            </w:r>
          </w:p>
        </w:tc>
        <w:tc>
          <w:tcPr>
            <w:tcW w:type="dxa" w:w="1728"/>
            <w:vAlign w:val="top"/>
            <w:tcMar>
              <w:top w:w="80" w:type="dxa"/>
              <w:start w:w="100" w:type="dxa"/>
              <w:bottom w:w="80" w:type="dxa"/>
              <w:end w:w="100" w:type="dxa"/>
            </w:tcMar>
            <w:shd w:fill="F5F7F8"/>
          </w:tcPr>
          <w:p>
            <w:r/>
            <w:r>
              <w:rPr>
                <w:rFonts w:ascii="Aptos" w:hAnsi="Aptos"/>
                <w:b w:val="0"/>
                <w:color w:val="2F3337"/>
                <w:sz w:val="16"/>
              </w:rPr>
              <w:t>Yes</w:t>
            </w:r>
          </w:p>
        </w:tc>
        <w:tc>
          <w:tcPr>
            <w:tcW w:type="dxa" w:w="4680"/>
            <w:vAlign w:val="top"/>
            <w:tcMar>
              <w:top w:w="80" w:type="dxa"/>
              <w:start w:w="100" w:type="dxa"/>
              <w:bottom w:w="80" w:type="dxa"/>
              <w:end w:w="100" w:type="dxa"/>
            </w:tcMar>
            <w:shd w:fill="F5F7F8"/>
          </w:tcPr>
          <w:p>
            <w:r/>
            <w:r>
              <w:rPr>
                <w:rFonts w:ascii="Aptos" w:hAnsi="Aptos"/>
                <w:b w:val="0"/>
                <w:color w:val="2F3337"/>
                <w:sz w:val="16"/>
              </w:rPr>
              <w:t>Invalidation manifest proves no dependency changed.</w:t>
            </w:r>
          </w:p>
        </w:tc>
      </w:tr>
      <w:tr>
        <w:tc>
          <w:tcPr>
            <w:tcW w:type="dxa" w:w="2880"/>
            <w:vAlign w:val="top"/>
            <w:tcMar>
              <w:top w:w="80" w:type="dxa"/>
              <w:start w:w="100" w:type="dxa"/>
              <w:bottom w:w="80" w:type="dxa"/>
              <w:end w:w="100" w:type="dxa"/>
            </w:tcMar>
            <w:shd w:fill="FFFFFF"/>
          </w:tcPr>
          <w:p>
            <w:r/>
            <w:r>
              <w:rPr>
                <w:rFonts w:ascii="Aptos" w:hAnsi="Aptos"/>
                <w:b w:val="0"/>
                <w:color w:val="2F3337"/>
                <w:sz w:val="16"/>
              </w:rPr>
              <w:t>REBOUND</w:t>
            </w:r>
          </w:p>
        </w:tc>
        <w:tc>
          <w:tcPr>
            <w:tcW w:type="dxa" w:w="1728"/>
            <w:vAlign w:val="top"/>
            <w:tcMar>
              <w:top w:w="80" w:type="dxa"/>
              <w:start w:w="100" w:type="dxa"/>
              <w:bottom w:w="80" w:type="dxa"/>
              <w:end w:w="100" w:type="dxa"/>
            </w:tcMar>
            <w:shd w:fill="FFFFFF"/>
          </w:tcPr>
          <w:p>
            <w:r/>
            <w:r>
              <w:rPr>
                <w:rFonts w:ascii="Aptos" w:hAnsi="Aptos"/>
                <w:b w:val="0"/>
                <w:color w:val="2F3337"/>
                <w:sz w:val="16"/>
              </w:rPr>
              <w:t>Yes</w:t>
            </w:r>
          </w:p>
        </w:tc>
        <w:tc>
          <w:tcPr>
            <w:tcW w:type="dxa" w:w="4680"/>
            <w:vAlign w:val="top"/>
            <w:tcMar>
              <w:top w:w="80" w:type="dxa"/>
              <w:start w:w="100" w:type="dxa"/>
              <w:bottom w:w="80" w:type="dxa"/>
              <w:end w:w="100" w:type="dxa"/>
            </w:tcMar>
            <w:shd w:fill="FFFFFF"/>
          </w:tcPr>
          <w:p>
            <w:r/>
            <w:r>
              <w:rPr>
                <w:rFonts w:ascii="Aptos" w:hAnsi="Aptos"/>
                <w:b w:val="0"/>
                <w:color w:val="2F3337"/>
                <w:sz w:val="16"/>
              </w:rPr>
              <w:t>Only source-bound record/generation identity changed; semantic proof preserved.</w:t>
            </w:r>
          </w:p>
        </w:tc>
      </w:tr>
      <w:tr>
        <w:tc>
          <w:tcPr>
            <w:tcW w:type="dxa" w:w="2880"/>
            <w:vAlign w:val="top"/>
            <w:tcMar>
              <w:top w:w="80" w:type="dxa"/>
              <w:start w:w="100" w:type="dxa"/>
              <w:bottom w:w="80" w:type="dxa"/>
              <w:end w:w="100" w:type="dxa"/>
            </w:tcMar>
            <w:shd w:fill="F5F7F8"/>
          </w:tcPr>
          <w:p>
            <w:r/>
            <w:r>
              <w:rPr>
                <w:rFonts w:ascii="Aptos" w:hAnsi="Aptos"/>
                <w:b w:val="0"/>
                <w:color w:val="2F3337"/>
                <w:sz w:val="16"/>
              </w:rPr>
              <w:t>SUPERSEDED</w:t>
            </w:r>
          </w:p>
        </w:tc>
        <w:tc>
          <w:tcPr>
            <w:tcW w:type="dxa" w:w="1728"/>
            <w:vAlign w:val="top"/>
            <w:tcMar>
              <w:top w:w="80" w:type="dxa"/>
              <w:start w:w="100" w:type="dxa"/>
              <w:bottom w:w="80" w:type="dxa"/>
              <w:end w:w="100" w:type="dxa"/>
            </w:tcMar>
            <w:shd w:fill="F5F7F8"/>
          </w:tcPr>
          <w:p>
            <w:r/>
            <w:r>
              <w:rPr>
                <w:rFonts w:ascii="Aptos" w:hAnsi="Aptos"/>
                <w:b w:val="0"/>
                <w:color w:val="2F3337"/>
                <w:sz w:val="16"/>
              </w:rPr>
              <w:t>No direct contribution</w:t>
            </w:r>
          </w:p>
        </w:tc>
        <w:tc>
          <w:tcPr>
            <w:tcW w:type="dxa" w:w="4680"/>
            <w:vAlign w:val="top"/>
            <w:tcMar>
              <w:top w:w="80" w:type="dxa"/>
              <w:start w:w="100" w:type="dxa"/>
              <w:bottom w:w="80" w:type="dxa"/>
              <w:end w:w="100" w:type="dxa"/>
            </w:tcMar>
            <w:shd w:fill="F5F7F8"/>
          </w:tcPr>
          <w:p>
            <w:r/>
            <w:r>
              <w:rPr>
                <w:rFonts w:ascii="Aptos" w:hAnsi="Aptos"/>
                <w:b w:val="0"/>
                <w:color w:val="2F3337"/>
                <w:sz w:val="16"/>
              </w:rPr>
              <w:t>Use the replacing receipt.</w:t>
            </w:r>
          </w:p>
        </w:tc>
      </w:tr>
      <w:tr>
        <w:tc>
          <w:tcPr>
            <w:tcW w:type="dxa" w:w="2880"/>
            <w:vAlign w:val="top"/>
            <w:tcMar>
              <w:top w:w="80" w:type="dxa"/>
              <w:start w:w="100" w:type="dxa"/>
              <w:bottom w:w="80" w:type="dxa"/>
              <w:end w:w="100" w:type="dxa"/>
            </w:tcMar>
            <w:shd w:fill="FFFFFF"/>
          </w:tcPr>
          <w:p>
            <w:r/>
            <w:r>
              <w:rPr>
                <w:rFonts w:ascii="Aptos" w:hAnsi="Aptos"/>
                <w:b w:val="0"/>
                <w:color w:val="2F3337"/>
                <w:sz w:val="16"/>
              </w:rPr>
              <w:t>INVALIDATED</w:t>
            </w:r>
          </w:p>
        </w:tc>
        <w:tc>
          <w:tcPr>
            <w:tcW w:type="dxa" w:w="1728"/>
            <w:vAlign w:val="top"/>
            <w:tcMar>
              <w:top w:w="80" w:type="dxa"/>
              <w:start w:w="100" w:type="dxa"/>
              <w:bottom w:w="80" w:type="dxa"/>
              <w:end w:w="100" w:type="dxa"/>
            </w:tcMar>
            <w:shd w:fill="FFFFFF"/>
          </w:tcPr>
          <w:p>
            <w:r/>
            <w:r>
              <w:rPr>
                <w:rFonts w:ascii="Aptos" w:hAnsi="Aptos"/>
                <w:b w:val="0"/>
                <w:color w:val="2F3337"/>
                <w:sz w:val="16"/>
              </w:rPr>
              <w:t>No</w:t>
            </w:r>
          </w:p>
        </w:tc>
        <w:tc>
          <w:tcPr>
            <w:tcW w:type="dxa" w:w="4680"/>
            <w:vAlign w:val="top"/>
            <w:tcMar>
              <w:top w:w="80" w:type="dxa"/>
              <w:start w:w="100" w:type="dxa"/>
              <w:bottom w:w="80" w:type="dxa"/>
              <w:end w:w="100" w:type="dxa"/>
            </w:tcMar>
            <w:shd w:fill="FFFFFF"/>
          </w:tcPr>
          <w:p>
            <w:r/>
            <w:r>
              <w:rPr>
                <w:rFonts w:ascii="Aptos" w:hAnsi="Aptos"/>
                <w:b w:val="0"/>
                <w:color w:val="2F3337"/>
                <w:sz w:val="16"/>
              </w:rPr>
              <w:t>Must be rerun or replaced.</w:t>
            </w:r>
          </w:p>
        </w:tc>
      </w:tr>
      <w:tr>
        <w:tc>
          <w:tcPr>
            <w:tcW w:type="dxa" w:w="2880"/>
            <w:vAlign w:val="top"/>
            <w:tcMar>
              <w:top w:w="80" w:type="dxa"/>
              <w:start w:w="100" w:type="dxa"/>
              <w:bottom w:w="80" w:type="dxa"/>
              <w:end w:w="100" w:type="dxa"/>
            </w:tcMar>
            <w:shd w:fill="F5F7F8"/>
          </w:tcPr>
          <w:p>
            <w:r/>
            <w:r>
              <w:rPr>
                <w:rFonts w:ascii="Aptos" w:hAnsi="Aptos"/>
                <w:b w:val="0"/>
                <w:color w:val="2F3337"/>
                <w:sz w:val="16"/>
              </w:rPr>
              <w:t>Environment-contaminated timing receipt</w:t>
            </w:r>
          </w:p>
        </w:tc>
        <w:tc>
          <w:tcPr>
            <w:tcW w:type="dxa" w:w="1728"/>
            <w:vAlign w:val="top"/>
            <w:tcMar>
              <w:top w:w="80" w:type="dxa"/>
              <w:start w:w="100" w:type="dxa"/>
              <w:bottom w:w="80" w:type="dxa"/>
              <w:end w:w="100" w:type="dxa"/>
            </w:tcMar>
            <w:shd w:fill="F5F7F8"/>
          </w:tcPr>
          <w:p>
            <w:r/>
            <w:r>
              <w:rPr>
                <w:rFonts w:ascii="Aptos" w:hAnsi="Aptos"/>
                <w:b w:val="0"/>
                <w:color w:val="2F3337"/>
                <w:sz w:val="16"/>
              </w:rPr>
              <w:t>Only for non-timing semantics</w:t>
            </w:r>
          </w:p>
        </w:tc>
        <w:tc>
          <w:tcPr>
            <w:tcW w:type="dxa" w:w="4680"/>
            <w:vAlign w:val="top"/>
            <w:tcMar>
              <w:top w:w="80" w:type="dxa"/>
              <w:start w:w="100" w:type="dxa"/>
              <w:bottom w:w="80" w:type="dxa"/>
              <w:end w:w="100" w:type="dxa"/>
            </w:tcMar>
            <w:shd w:fill="F5F7F8"/>
          </w:tcPr>
          <w:p>
            <w:r/>
            <w:r>
              <w:rPr>
                <w:rFonts w:ascii="Aptos" w:hAnsi="Aptos"/>
                <w:b w:val="0"/>
                <w:color w:val="2F3337"/>
                <w:sz w:val="16"/>
              </w:rPr>
              <w:t>Decision must not use it to prove performance/timing contract.</w:t>
            </w:r>
          </w:p>
        </w:tc>
      </w:tr>
    </w:tbl>
    <w:p/>
    <w:tbl>
      <w:tblPr>
        <w:tblW w:type="auto" w:w="0"/>
        <w:jc w:val="center"/>
        <w:tblLayout w:type="fixed"/>
        <w:tblLook w:firstColumn="1" w:firstRow="1" w:lastColumn="0" w:lastRow="0" w:noHBand="0" w:noVBand="1" w:val="04A0"/>
      </w:tblPr>
      <w:tblGrid>
        <w:gridCol w:w="115"/>
        <w:gridCol w:w="9144"/>
      </w:tblGrid>
      <w:tr>
        <w:tc>
          <w:tcPr>
            <w:tcW w:type="dxa" w:w="5184"/>
            <w:shd w:fill="2E7D7A"/>
            <w:tcMar>
              <w:top w:w="0" w:type="dxa"/>
              <w:start w:w="0" w:type="dxa"/>
              <w:bottom w:w="0" w:type="dxa"/>
              <w:end w:w="0" w:type="dxa"/>
            </w:tcMar>
          </w:tcPr>
          <w:p/>
        </w:tc>
        <w:tc>
          <w:tcPr>
            <w:tcW w:type="dxa" w:w="5184"/>
            <w:shd w:fill="E8F2F1"/>
            <w:tcMar>
              <w:top w:w="110" w:type="dxa"/>
              <w:start w:w="150" w:type="dxa"/>
              <w:bottom w:w="110" w:type="dxa"/>
              <w:end w:w="150" w:type="dxa"/>
            </w:tcMar>
          </w:tcPr>
          <w:p>
            <w:r/>
            <w:r>
              <w:rPr>
                <w:rFonts w:ascii="Aptos Display" w:hAnsi="Aptos Display"/>
                <w:b/>
                <w:color w:val="174657"/>
                <w:sz w:val="22"/>
              </w:rPr>
              <w:t>Confidence rule</w:t>
            </w:r>
          </w:p>
          <w:p>
            <w:r>
              <w:rPr>
                <w:rFonts w:ascii="Aptos" w:hAnsi="Aptos"/>
                <w:color w:val="2F3337"/>
                <w:sz w:val="18"/>
              </w:rPr>
              <w:t>A new SHA is not a reason to discard valid proof. A changed dependency is. Sounding Line must be able to explain the difference.</w:t>
            </w:r>
          </w:p>
        </w:tc>
      </w:tr>
    </w:tbl>
    <w:p/>
    <w:p>
      <w:r>
        <w:br w:type="page"/>
      </w:r>
    </w:p>
    <w:p>
      <w:pPr>
        <w:pStyle w:val="Heading1"/>
        <w:pBdr>
          <w:bottom w:val="single" w:sz="18" w:space="4" w:color="2E7D7A"/>
        </w:pBdr>
      </w:pPr>
      <w:r>
        <w:rPr>
          <w:color w:val="174657"/>
        </w:rPr>
        <w:t>8. Environment Qualification and Timing Evidence</w:t>
      </w:r>
    </w:p>
    <w:p>
      <w:pPr>
        <w:pStyle w:val="Body"/>
      </w:pPr>
      <w:r>
        <w:t>Evidence that depends on wall-clock timing, cold compilation, CPU/GPU contention, memory pressure, browser startup, or thermal state must identify its environment class. Functional semantic assertions may remain useful even when timing evidence is contaminated.</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880"/>
            <w:vAlign w:val="top"/>
            <w:tcMar>
              <w:top w:w="80" w:type="dxa"/>
              <w:start w:w="100" w:type="dxa"/>
              <w:bottom w:w="80" w:type="dxa"/>
              <w:end w:w="100" w:type="dxa"/>
            </w:tcMar>
            <w:shd w:fill="174657"/>
          </w:tcPr>
          <w:p>
            <w:r/>
            <w:r>
              <w:rPr>
                <w:rFonts w:ascii="Aptos" w:hAnsi="Aptos"/>
                <w:b/>
                <w:color w:val="FFFFFF"/>
                <w:sz w:val="16"/>
              </w:rPr>
              <w:t>Environment class</w:t>
            </w:r>
          </w:p>
        </w:tc>
        <w:tc>
          <w:tcPr>
            <w:tcW w:type="dxa" w:w="6408"/>
            <w:vAlign w:val="top"/>
            <w:tcMar>
              <w:top w:w="80" w:type="dxa"/>
              <w:start w:w="100" w:type="dxa"/>
              <w:bottom w:w="80" w:type="dxa"/>
              <w:end w:w="100" w:type="dxa"/>
            </w:tcMar>
            <w:shd w:fill="174657"/>
          </w:tcPr>
          <w:p>
            <w:r/>
            <w:r>
              <w:rPr>
                <w:rFonts w:ascii="Aptos" w:hAnsi="Aptos"/>
                <w:b/>
                <w:color w:val="FFFFFF"/>
                <w:sz w:val="16"/>
              </w:rPr>
              <w:t>Use</w:t>
            </w:r>
          </w:p>
        </w:tc>
      </w:tr>
      <w:tr>
        <w:tc>
          <w:tcPr>
            <w:tcW w:type="dxa" w:w="2880"/>
            <w:vAlign w:val="top"/>
            <w:tcMar>
              <w:top w:w="80" w:type="dxa"/>
              <w:start w:w="100" w:type="dxa"/>
              <w:bottom w:w="80" w:type="dxa"/>
              <w:end w:w="100" w:type="dxa"/>
            </w:tcMar>
            <w:shd w:fill="FFFFFF"/>
          </w:tcPr>
          <w:p>
            <w:r/>
            <w:r>
              <w:rPr>
                <w:rFonts w:ascii="Aptos" w:hAnsi="Aptos"/>
                <w:b w:val="0"/>
                <w:color w:val="2F3337"/>
                <w:sz w:val="16"/>
              </w:rPr>
              <w:t>REFERENCE_CI</w:t>
            </w:r>
          </w:p>
        </w:tc>
        <w:tc>
          <w:tcPr>
            <w:tcW w:type="dxa" w:w="6408"/>
            <w:vAlign w:val="top"/>
            <w:tcMar>
              <w:top w:w="80" w:type="dxa"/>
              <w:start w:w="100" w:type="dxa"/>
              <w:bottom w:w="80" w:type="dxa"/>
              <w:end w:w="100" w:type="dxa"/>
            </w:tcMar>
            <w:shd w:fill="FFFFFF"/>
          </w:tcPr>
          <w:p>
            <w:r/>
            <w:r>
              <w:rPr>
                <w:rFonts w:ascii="Aptos" w:hAnsi="Aptos"/>
                <w:b w:val="0"/>
                <w:color w:val="2F3337"/>
                <w:sz w:val="16"/>
              </w:rPr>
              <w:t>Preferred authority for hosted timing and clean-runner browser behavior.</w:t>
            </w:r>
          </w:p>
        </w:tc>
      </w:tr>
      <w:tr>
        <w:tc>
          <w:tcPr>
            <w:tcW w:type="dxa" w:w="2880"/>
            <w:vAlign w:val="top"/>
            <w:tcMar>
              <w:top w:w="80" w:type="dxa"/>
              <w:start w:w="100" w:type="dxa"/>
              <w:bottom w:w="80" w:type="dxa"/>
              <w:end w:w="100" w:type="dxa"/>
            </w:tcMar>
            <w:shd w:fill="F5F7F8"/>
          </w:tcPr>
          <w:p>
            <w:r/>
            <w:r>
              <w:rPr>
                <w:rFonts w:ascii="Aptos" w:hAnsi="Aptos"/>
                <w:b w:val="0"/>
                <w:color w:val="2F3337"/>
                <w:sz w:val="16"/>
              </w:rPr>
              <w:t>DEVELOPER_NORMAL</w:t>
            </w:r>
          </w:p>
        </w:tc>
        <w:tc>
          <w:tcPr>
            <w:tcW w:type="dxa" w:w="6408"/>
            <w:vAlign w:val="top"/>
            <w:tcMar>
              <w:top w:w="80" w:type="dxa"/>
              <w:start w:w="100" w:type="dxa"/>
              <w:bottom w:w="80" w:type="dxa"/>
              <w:end w:w="100" w:type="dxa"/>
            </w:tcMar>
            <w:shd w:fill="F5F7F8"/>
          </w:tcPr>
          <w:p>
            <w:r/>
            <w:r>
              <w:rPr>
                <w:rFonts w:ascii="Aptos" w:hAnsi="Aptos"/>
                <w:b w:val="0"/>
                <w:color w:val="2F3337"/>
                <w:sz w:val="16"/>
              </w:rPr>
              <w:t>Local proof when the workstation is within normal capacity profile.</w:t>
            </w:r>
          </w:p>
        </w:tc>
      </w:tr>
      <w:tr>
        <w:tc>
          <w:tcPr>
            <w:tcW w:type="dxa" w:w="2880"/>
            <w:vAlign w:val="top"/>
            <w:tcMar>
              <w:top w:w="80" w:type="dxa"/>
              <w:start w:w="100" w:type="dxa"/>
              <w:bottom w:w="80" w:type="dxa"/>
              <w:end w:w="100" w:type="dxa"/>
            </w:tcMar>
            <w:shd w:fill="FFFFFF"/>
          </w:tcPr>
          <w:p>
            <w:r/>
            <w:r>
              <w:rPr>
                <w:rFonts w:ascii="Aptos" w:hAnsi="Aptos"/>
                <w:b w:val="0"/>
                <w:color w:val="2F3337"/>
                <w:sz w:val="16"/>
              </w:rPr>
              <w:t>DEVELOPER_CONTENDED</w:t>
            </w:r>
          </w:p>
        </w:tc>
        <w:tc>
          <w:tcPr>
            <w:tcW w:type="dxa" w:w="6408"/>
            <w:vAlign w:val="top"/>
            <w:tcMar>
              <w:top w:w="80" w:type="dxa"/>
              <w:start w:w="100" w:type="dxa"/>
              <w:bottom w:w="80" w:type="dxa"/>
              <w:end w:w="100" w:type="dxa"/>
            </w:tcMar>
            <w:shd w:fill="FFFFFF"/>
          </w:tcPr>
          <w:p>
            <w:r/>
            <w:r>
              <w:rPr>
                <w:rFonts w:ascii="Aptos" w:hAnsi="Aptos"/>
                <w:b w:val="0"/>
                <w:color w:val="2F3337"/>
                <w:sz w:val="16"/>
              </w:rPr>
              <w:t>Functional diagnostics may be retained; timing/performance conclusions are not authoritative.</w:t>
            </w:r>
          </w:p>
        </w:tc>
      </w:tr>
      <w:tr>
        <w:tc>
          <w:tcPr>
            <w:tcW w:type="dxa" w:w="2880"/>
            <w:vAlign w:val="top"/>
            <w:tcMar>
              <w:top w:w="80" w:type="dxa"/>
              <w:start w:w="100" w:type="dxa"/>
              <w:bottom w:w="80" w:type="dxa"/>
              <w:end w:w="100" w:type="dxa"/>
            </w:tcMar>
            <w:shd w:fill="F5F7F8"/>
          </w:tcPr>
          <w:p>
            <w:r/>
            <w:r>
              <w:rPr>
                <w:rFonts w:ascii="Aptos" w:hAnsi="Aptos"/>
                <w:b w:val="0"/>
                <w:color w:val="2F3337"/>
                <w:sz w:val="16"/>
              </w:rPr>
              <w:t>EXTERNAL_PROVIDER</w:t>
            </w:r>
          </w:p>
        </w:tc>
        <w:tc>
          <w:tcPr>
            <w:tcW w:type="dxa" w:w="6408"/>
            <w:vAlign w:val="top"/>
            <w:tcMar>
              <w:top w:w="80" w:type="dxa"/>
              <w:start w:w="100" w:type="dxa"/>
              <w:bottom w:w="80" w:type="dxa"/>
              <w:end w:w="100" w:type="dxa"/>
            </w:tcMar>
            <w:shd w:fill="F5F7F8"/>
          </w:tcPr>
          <w:p>
            <w:r/>
            <w:r>
              <w:rPr>
                <w:rFonts w:ascii="Aptos" w:hAnsi="Aptos"/>
                <w:b w:val="0"/>
                <w:color w:val="2F3337"/>
                <w:sz w:val="16"/>
              </w:rPr>
              <w:t>Proof includes provider identity/region/version and provider availability state.</w:t>
            </w:r>
          </w:p>
        </w:tc>
      </w:tr>
    </w:tbl>
    <w:p/>
    <w:p>
      <w:pPr>
        <w:pStyle w:val="Body"/>
      </w:pPr>
      <w:r>
        <w:t>A game, render workload, thermal throttling, IDE indexing storm, or other heavy interactive workload is not a product defect. Sounding Line must classify the local environment and either defer timing-sensitive proof, route it to a reference runner, or narrow the evidence claim.</w:t>
      </w:r>
    </w:p>
    <w:p>
      <w:r>
        <w:br w:type="page"/>
      </w:r>
    </w:p>
    <w:p>
      <w:pPr>
        <w:pStyle w:val="Heading1"/>
        <w:pBdr>
          <w:bottom w:val="single" w:sz="18" w:space="4" w:color="2E7D7A"/>
        </w:pBdr>
      </w:pPr>
      <w:r>
        <w:rPr>
          <w:color w:val="174657"/>
        </w:rPr>
        <w:t>9. Closure Efficiency as Verification Quality</w:t>
      </w:r>
    </w:p>
    <w:p>
      <w:pPr>
        <w:pStyle w:val="Body"/>
      </w:pPr>
      <w:r>
        <w:t>Verification depth remains non-negotiable, but unnecessary revalidation is itself a quality defect because it delays integration, increases contention, and raises the probability of mainline drift invalidating otherwise complete work.</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880"/>
            <w:vAlign w:val="top"/>
            <w:tcMar>
              <w:top w:w="80" w:type="dxa"/>
              <w:start w:w="100" w:type="dxa"/>
              <w:bottom w:w="80" w:type="dxa"/>
              <w:end w:w="100" w:type="dxa"/>
            </w:tcMar>
            <w:shd w:fill="174657"/>
          </w:tcPr>
          <w:p>
            <w:r/>
            <w:r>
              <w:rPr>
                <w:rFonts w:ascii="Aptos" w:hAnsi="Aptos"/>
                <w:b/>
                <w:color w:val="FFFFFF"/>
                <w:sz w:val="16"/>
              </w:rPr>
              <w:t>Metric</w:t>
            </w:r>
          </w:p>
        </w:tc>
        <w:tc>
          <w:tcPr>
            <w:tcW w:type="dxa" w:w="6408"/>
            <w:vAlign w:val="top"/>
            <w:tcMar>
              <w:top w:w="80" w:type="dxa"/>
              <w:start w:w="100" w:type="dxa"/>
              <w:bottom w:w="80" w:type="dxa"/>
              <w:end w:w="100" w:type="dxa"/>
            </w:tcMar>
            <w:shd w:fill="174657"/>
          </w:tcPr>
          <w:p>
            <w:r/>
            <w:r>
              <w:rPr>
                <w:rFonts w:ascii="Aptos" w:hAnsi="Aptos"/>
                <w:b/>
                <w:color w:val="FFFFFF"/>
                <w:sz w:val="16"/>
              </w:rPr>
              <w:t>Required interpretation</w:t>
            </w:r>
          </w:p>
        </w:tc>
      </w:tr>
      <w:tr>
        <w:tc>
          <w:tcPr>
            <w:tcW w:type="dxa" w:w="2880"/>
            <w:vAlign w:val="top"/>
            <w:tcMar>
              <w:top w:w="80" w:type="dxa"/>
              <w:start w:w="100" w:type="dxa"/>
              <w:bottom w:w="80" w:type="dxa"/>
              <w:end w:w="100" w:type="dxa"/>
            </w:tcMar>
            <w:shd w:fill="FFFFFF"/>
          </w:tcPr>
          <w:p>
            <w:r/>
            <w:r>
              <w:rPr>
                <w:rFonts w:ascii="Aptos" w:hAnsi="Aptos"/>
                <w:b w:val="0"/>
                <w:color w:val="2F3337"/>
                <w:sz w:val="16"/>
              </w:rPr>
              <w:t>Full-gate count per phase</w:t>
            </w:r>
          </w:p>
        </w:tc>
        <w:tc>
          <w:tcPr>
            <w:tcW w:type="dxa" w:w="6408"/>
            <w:vAlign w:val="top"/>
            <w:tcMar>
              <w:top w:w="80" w:type="dxa"/>
              <w:start w:w="100" w:type="dxa"/>
              <w:bottom w:w="80" w:type="dxa"/>
              <w:end w:w="100" w:type="dxa"/>
            </w:tcMar>
            <w:shd w:fill="FFFFFF"/>
          </w:tcPr>
          <w:p>
            <w:r/>
            <w:r>
              <w:rPr>
                <w:rFonts w:ascii="Aptos" w:hAnsi="Aptos"/>
                <w:b w:val="0"/>
                <w:color w:val="2F3337"/>
                <w:sz w:val="16"/>
              </w:rPr>
              <w:t>Track separately from focused reruns. Repeated full gates without product changes require review.</w:t>
            </w:r>
          </w:p>
        </w:tc>
      </w:tr>
      <w:tr>
        <w:tc>
          <w:tcPr>
            <w:tcW w:type="dxa" w:w="2880"/>
            <w:vAlign w:val="top"/>
            <w:tcMar>
              <w:top w:w="80" w:type="dxa"/>
              <w:start w:w="100" w:type="dxa"/>
              <w:bottom w:w="80" w:type="dxa"/>
              <w:end w:w="100" w:type="dxa"/>
            </w:tcMar>
            <w:shd w:fill="F5F7F8"/>
          </w:tcPr>
          <w:p>
            <w:r/>
            <w:r>
              <w:rPr>
                <w:rFonts w:ascii="Aptos" w:hAnsi="Aptos"/>
                <w:b w:val="0"/>
                <w:color w:val="2F3337"/>
                <w:sz w:val="16"/>
              </w:rPr>
              <w:t>Evidence preservation ratio</w:t>
            </w:r>
          </w:p>
        </w:tc>
        <w:tc>
          <w:tcPr>
            <w:tcW w:type="dxa" w:w="6408"/>
            <w:vAlign w:val="top"/>
            <w:tcMar>
              <w:top w:w="80" w:type="dxa"/>
              <w:start w:w="100" w:type="dxa"/>
              <w:bottom w:w="80" w:type="dxa"/>
              <w:end w:w="100" w:type="dxa"/>
            </w:tcMar>
            <w:shd w:fill="F5F7F8"/>
          </w:tcPr>
          <w:p>
            <w:r/>
            <w:r>
              <w:rPr>
                <w:rFonts w:ascii="Aptos" w:hAnsi="Aptos"/>
                <w:b w:val="0"/>
                <w:color w:val="2F3337"/>
                <w:sz w:val="16"/>
              </w:rPr>
              <w:t>Percentage of mandatory obligations satisfied by valid carry-forward after narrow change/main advance.</w:t>
            </w:r>
          </w:p>
        </w:tc>
      </w:tr>
      <w:tr>
        <w:tc>
          <w:tcPr>
            <w:tcW w:type="dxa" w:w="2880"/>
            <w:vAlign w:val="top"/>
            <w:tcMar>
              <w:top w:w="80" w:type="dxa"/>
              <w:start w:w="100" w:type="dxa"/>
              <w:bottom w:w="80" w:type="dxa"/>
              <w:end w:w="100" w:type="dxa"/>
            </w:tcMar>
            <w:shd w:fill="FFFFFF"/>
          </w:tcPr>
          <w:p>
            <w:r/>
            <w:r>
              <w:rPr>
                <w:rFonts w:ascii="Aptos" w:hAnsi="Aptos"/>
                <w:b w:val="0"/>
                <w:color w:val="2F3337"/>
                <w:sz w:val="16"/>
              </w:rPr>
              <w:t>Closure latency</w:t>
            </w:r>
          </w:p>
        </w:tc>
        <w:tc>
          <w:tcPr>
            <w:tcW w:type="dxa" w:w="6408"/>
            <w:vAlign w:val="top"/>
            <w:tcMar>
              <w:top w:w="80" w:type="dxa"/>
              <w:start w:w="100" w:type="dxa"/>
              <w:bottom w:w="80" w:type="dxa"/>
              <w:end w:w="100" w:type="dxa"/>
            </w:tcMar>
            <w:shd w:fill="FFFFFF"/>
          </w:tcPr>
          <w:p>
            <w:r/>
            <w:r>
              <w:rPr>
                <w:rFonts w:ascii="Aptos" w:hAnsi="Aptos"/>
                <w:b w:val="0"/>
                <w:color w:val="2F3337"/>
                <w:sz w:val="16"/>
              </w:rPr>
              <w:t>Time from locally complete to accepted mainline; separate queue time, execution time, rework time, and mainline-drift time.</w:t>
            </w:r>
          </w:p>
        </w:tc>
      </w:tr>
      <w:tr>
        <w:tc>
          <w:tcPr>
            <w:tcW w:type="dxa" w:w="2880"/>
            <w:vAlign w:val="top"/>
            <w:tcMar>
              <w:top w:w="80" w:type="dxa"/>
              <w:start w:w="100" w:type="dxa"/>
              <w:bottom w:w="80" w:type="dxa"/>
              <w:end w:w="100" w:type="dxa"/>
            </w:tcMar>
            <w:shd w:fill="F5F7F8"/>
          </w:tcPr>
          <w:p>
            <w:r/>
            <w:r>
              <w:rPr>
                <w:rFonts w:ascii="Aptos" w:hAnsi="Aptos"/>
                <w:b w:val="0"/>
                <w:color w:val="2F3337"/>
                <w:sz w:val="16"/>
              </w:rPr>
              <w:t>Over-invalidation ratio</w:t>
            </w:r>
          </w:p>
        </w:tc>
        <w:tc>
          <w:tcPr>
            <w:tcW w:type="dxa" w:w="6408"/>
            <w:vAlign w:val="top"/>
            <w:tcMar>
              <w:top w:w="80" w:type="dxa"/>
              <w:start w:w="100" w:type="dxa"/>
              <w:bottom w:w="80" w:type="dxa"/>
              <w:end w:w="100" w:type="dxa"/>
            </w:tcMar>
            <w:shd w:fill="F5F7F8"/>
          </w:tcPr>
          <w:p>
            <w:r/>
            <w:r>
              <w:rPr>
                <w:rFonts w:ascii="Aptos" w:hAnsi="Aptos"/>
                <w:b w:val="0"/>
                <w:color w:val="2F3337"/>
                <w:sz w:val="16"/>
              </w:rPr>
              <w:t>Evidence rerun despite no dependency change. Target should trend toward zero.</w:t>
            </w:r>
          </w:p>
        </w:tc>
      </w:tr>
      <w:tr>
        <w:tc>
          <w:tcPr>
            <w:tcW w:type="dxa" w:w="2880"/>
            <w:vAlign w:val="top"/>
            <w:tcMar>
              <w:top w:w="80" w:type="dxa"/>
              <w:start w:w="100" w:type="dxa"/>
              <w:bottom w:w="80" w:type="dxa"/>
              <w:end w:w="100" w:type="dxa"/>
            </w:tcMar>
            <w:shd w:fill="FFFFFF"/>
          </w:tcPr>
          <w:p>
            <w:r/>
            <w:r>
              <w:rPr>
                <w:rFonts w:ascii="Aptos" w:hAnsi="Aptos"/>
                <w:b w:val="0"/>
                <w:color w:val="2F3337"/>
                <w:sz w:val="16"/>
              </w:rPr>
              <w:t>Queue wait</w:t>
            </w:r>
          </w:p>
        </w:tc>
        <w:tc>
          <w:tcPr>
            <w:tcW w:type="dxa" w:w="6408"/>
            <w:vAlign w:val="top"/>
            <w:tcMar>
              <w:top w:w="80" w:type="dxa"/>
              <w:start w:w="100" w:type="dxa"/>
              <w:bottom w:w="80" w:type="dxa"/>
              <w:end w:w="100" w:type="dxa"/>
            </w:tcMar>
            <w:shd w:fill="FFFFFF"/>
          </w:tcPr>
          <w:p>
            <w:r/>
            <w:r>
              <w:rPr>
                <w:rFonts w:ascii="Aptos" w:hAnsi="Aptos"/>
                <w:b w:val="0"/>
                <w:color w:val="2F3337"/>
                <w:sz w:val="16"/>
              </w:rPr>
              <w:t>Part II scheduling metric; not product implementation time.</w:t>
            </w:r>
          </w:p>
        </w:tc>
      </w:tr>
    </w:tbl>
    <w:p/>
    <w:p>
      <w:r>
        <w:br w:type="page"/>
      </w:r>
    </w:p>
    <w:p>
      <w:pPr>
        <w:pStyle w:val="Heading1"/>
        <w:pBdr>
          <w:bottom w:val="single" w:sz="18" w:space="4" w:color="2E7D7A"/>
        </w:pBdr>
      </w:pPr>
      <w:r>
        <w:rPr>
          <w:color w:val="174657"/>
        </w:rPr>
        <w:t>10. Part I v1.1 Acceptance Additions</w:t>
      </w:r>
    </w:p>
    <w:p>
      <w:pPr>
        <w:pStyle w:val="BodyBullet"/>
      </w:pPr>
      <w:r>
        <w:t>Planner can produce a deterministic Evidence Invalidation Manifest.</w:t>
      </w:r>
    </w:p>
    <w:p>
      <w:pPr>
        <w:pStyle w:val="BodyBullet"/>
      </w:pPr>
      <w:r>
        <w:t>Carry-forward receipts are immutable, source-bound, and auditable.</w:t>
      </w:r>
    </w:p>
    <w:p>
      <w:pPr>
        <w:pStyle w:val="BodyBullet"/>
      </w:pPr>
      <w:r>
        <w:t>Test-only change does not automatically invalidate unrelated suites.</w:t>
      </w:r>
    </w:p>
    <w:p>
      <w:pPr>
        <w:pStyle w:val="BodyBullet"/>
      </w:pPr>
      <w:r>
        <w:t>Failure class changes the legal repair owner/scope.</w:t>
      </w:r>
    </w:p>
    <w:p>
      <w:pPr>
        <w:pStyle w:val="BodyBullet"/>
      </w:pPr>
      <w:r>
        <w:t>Environment-contaminated timing evidence cannot be mistaken for product failure.</w:t>
      </w:r>
    </w:p>
    <w:p>
      <w:pPr>
        <w:pStyle w:val="BodyBullet"/>
      </w:pPr>
      <w:r>
        <w:t>Finalizer can compose fresh and preserved evidence without weakening mandatory proof.</w:t>
      </w:r>
    </w:p>
    <w:p>
      <w:pPr>
        <w:pStyle w:val="BodyBullet"/>
      </w:pPr>
      <w:r>
        <w:t>Historical receipt remains immutable; preserved evidence is represented by a new derived record.</w:t>
      </w:r>
    </w:p>
    <w:p>
      <w:pPr>
        <w:pStyle w:val="BodyBullet"/>
      </w:pPr>
      <w:r>
        <w:t>Policy tests prove broad rerun is rejected when no dependency explanation exists.</w:t>
      </w:r>
    </w:p>
    <w:tbl>
      <w:tblPr>
        <w:tblW w:type="auto" w:w="0"/>
        <w:jc w:val="center"/>
        <w:tblLayout w:type="fixed"/>
        <w:tblLook w:firstColumn="1" w:firstRow="1" w:lastColumn="0" w:lastRow="0" w:noHBand="0" w:noVBand="1" w:val="04A0"/>
      </w:tblPr>
      <w:tblGrid>
        <w:gridCol w:w="115"/>
        <w:gridCol w:w="9144"/>
      </w:tblGrid>
      <w:tr>
        <w:tc>
          <w:tcPr>
            <w:tcW w:type="dxa" w:w="5184"/>
            <w:shd w:fill="B68B2D"/>
            <w:tcMar>
              <w:top w:w="0" w:type="dxa"/>
              <w:start w:w="0" w:type="dxa"/>
              <w:bottom w:w="0" w:type="dxa"/>
              <w:end w:w="0" w:type="dxa"/>
            </w:tcMar>
          </w:tcPr>
          <w:p/>
        </w:tc>
        <w:tc>
          <w:tcPr>
            <w:tcW w:type="dxa" w:w="5184"/>
            <w:shd w:fill="F4EED8"/>
            <w:tcMar>
              <w:top w:w="110" w:type="dxa"/>
              <w:start w:w="150" w:type="dxa"/>
              <w:bottom w:w="110" w:type="dxa"/>
              <w:end w:w="150" w:type="dxa"/>
            </w:tcMar>
          </w:tcPr>
          <w:p>
            <w:r/>
            <w:r>
              <w:rPr>
                <w:rFonts w:ascii="Aptos Display" w:hAnsi="Aptos Display"/>
                <w:b/>
                <w:color w:val="174657"/>
                <w:sz w:val="22"/>
              </w:rPr>
              <w:t>Final Part I v1.1 rule</w:t>
            </w:r>
          </w:p>
          <w:p>
            <w:r>
              <w:rPr>
                <w:rFonts w:ascii="Aptos" w:hAnsi="Aptos"/>
                <w:color w:val="2F3337"/>
                <w:sz w:val="18"/>
              </w:rPr>
              <w:t>Preserve proof when its meaning is unchanged. Rerun proof when its dependencies changed. Never use SHA churn, test-harness churn, or environmental slowness as a substitute for semantic impact analysis.</w:t>
            </w:r>
          </w:p>
        </w:tc>
      </w:tr>
    </w:tbl>
    <w:p/>
    <w:p>
      <w:r>
        <w:br w:type="page"/>
      </w:r>
    </w:p>
    <w:p>
      <w:pPr>
        <w:pStyle w:val="Heading1"/>
        <w:pBdr>
          <w:bottom w:val="single" w:sz="18" w:space="4" w:color="2E7D7A"/>
        </w:pBdr>
      </w:pPr>
      <w:r>
        <w:rPr>
          <w:color w:val="174657"/>
        </w:rPr>
        <w:t>R. References and Amendment Closure</w:t>
      </w:r>
    </w:p>
    <w:p>
      <w:pPr>
        <w:pStyle w:val="Body"/>
      </w:pPr>
      <w:r>
        <w:t>Base authority: Project Sounding Line Part I - Software Verification Architecture, Version 1.0, July 28, 2026. Companion authority: Parts II and III Version 1.1 Amendment Editions. Operational motivation includes Project Helm Phase 1 closure evidence from August 2026, treated as incident history rather than product semantics.</w:t>
      </w:r>
    </w:p>
    <w:p>
      <w:pPr>
        <w:pStyle w:val="Body"/>
      </w:pPr>
      <w:r>
        <w:t>All unaffected Version 1.0 clauses remain governing. Where Version 1.0 and Version 1.1 differ on evidence invalidation, carry-forward, or failure-class repair scope, Version 1.1 controls.</w:t>
      </w:r>
    </w:p>
    <w:sectPr w:rsidR="00FC693F" w:rsidRPr="0006063C" w:rsidSect="00034616">
      <w:footerReference w:type="default" r:id="rId9"/>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47B"/>
        <w:sz w:val="15"/>
      </w:rPr>
      <w:t>Project Sounding Line / Part I / Version 1.1 Amendment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F33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b/>
      <w:bCs/>
      <w:color w:val="174657"/>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E7D7A"/>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1746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74657"/>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100" w:line="259" w:lineRule="auto"/>
    </w:pPr>
    <w:rPr>
      <w:rFonts w:ascii="Aptos" w:hAnsi="Aptos"/>
      <w:color w:val="2F3337"/>
      <w:sz w:val="18"/>
    </w:rPr>
  </w:style>
  <w:style w:type="paragraph" w:customStyle="1" w:styleId="BodyBullet">
    <w:name w:val="Body Bullet"/>
    <w:pPr>
      <w:spacing w:after="100" w:line="259" w:lineRule="auto"/>
      <w:ind w:left="259" w:hanging="173"/>
    </w:pPr>
    <w:rPr>
      <w:rFonts w:ascii="Aptos" w:hAnsi="Aptos"/>
      <w:color w:val="2F3337"/>
      <w:sz w:val="18"/>
    </w:rPr>
  </w:style>
  <w:style w:type="paragraph" w:customStyle="1" w:styleId="BodyNumbered">
    <w:name w:val="Body Numbered"/>
    <w:pPr>
      <w:spacing w:after="100" w:line="259" w:lineRule="auto"/>
      <w:ind w:left="317" w:hanging="230"/>
    </w:pPr>
    <w:rPr>
      <w:rFonts w:ascii="Aptos" w:hAnsi="Aptos"/>
      <w:color w:val="2F33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