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インド市場参入に向けた</w:t>
        <w:br/>
        <w:t>マクロ経済・人口動態 基礎レポート</w:t>
      </w:r>
    </w:p>
    <w:p>
      <w:pPr>
        <w:jc w:val="center"/>
      </w:pPr>
      <w:r>
        <w:rPr>
          <w:sz w:val="28"/>
        </w:rPr>
        <w:t>（白物家電メーカー向け・基礎資料）</w:t>
      </w:r>
    </w:p>
    <w:p>
      <w:pPr>
        <w:jc w:val="center"/>
      </w:pPr>
      <w:r>
        <w:rPr>
          <w:sz w:val="22"/>
        </w:rPr>
        <w:t>作成日：2025年10月15日</w:t>
      </w:r>
    </w:p>
    <w:p>
      <w:pPr>
        <w:jc w:val="center"/>
      </w:pPr>
      <w:r>
        <w:rPr>
          <w:sz w:val="22"/>
        </w:rPr>
        <w:t>国際事業アナリストチーム</w:t>
      </w:r>
    </w:p>
    <w:p>
      <w:r>
        <w:br w:type="page"/>
      </w:r>
    </w:p>
    <w:p>
      <w:pPr>
        <w:pStyle w:val="Heading1"/>
      </w:pPr>
      <w:r>
        <w:t>目次</w:t>
      </w:r>
    </w:p>
    <w:p>
      <w:pPr>
        <w:pStyle w:val="ListNumber"/>
      </w:pPr>
      <w:r>
        <w:t>1. エグゼクティブ・サマリー</w:t>
      </w:r>
    </w:p>
    <w:p>
      <w:pPr>
        <w:pStyle w:val="ListNumber"/>
      </w:pPr>
      <w:r>
        <w:t>2. 本レポートの目的・方法・データ出典</w:t>
      </w:r>
    </w:p>
    <w:p>
      <w:pPr>
        <w:pStyle w:val="ListNumber"/>
      </w:pPr>
      <w:r>
        <w:t>3. マクロ経済の概況</w:t>
      </w:r>
    </w:p>
    <w:p>
      <w:pPr>
        <w:pStyle w:val="ListNumber"/>
      </w:pPr>
      <w:r>
        <w:t>4. 成長見通し（5年間の予測）</w:t>
      </w:r>
    </w:p>
    <w:p>
      <w:pPr>
        <w:pStyle w:val="ListNumber"/>
      </w:pPr>
      <w:r>
        <w:t>5. 所得水準：一人当たり所得と可処分所得</w:t>
      </w:r>
    </w:p>
    <w:p>
      <w:pPr>
        <w:pStyle w:val="ListNumber"/>
      </w:pPr>
      <w:r>
        <w:t>6. 人口動態：都市化・年齢構成・労働力人口</w:t>
      </w:r>
    </w:p>
    <w:p>
      <w:pPr>
        <w:pStyle w:val="ListNumber"/>
      </w:pPr>
      <w:r>
        <w:t>7. 中間層の規模と成長見通し</w:t>
      </w:r>
    </w:p>
    <w:p>
      <w:pPr>
        <w:pStyle w:val="ListNumber"/>
      </w:pPr>
      <w:r>
        <w:t>8. 物流・電力等のインフラ品質評価</w:t>
      </w:r>
    </w:p>
    <w:p>
      <w:pPr>
        <w:pStyle w:val="ListNumber"/>
      </w:pPr>
      <w:r>
        <w:t>9. 白物家電市場への含意（需要ドライバーと障壁）</w:t>
      </w:r>
    </w:p>
    <w:p>
      <w:pPr>
        <w:pStyle w:val="ListNumber"/>
      </w:pPr>
      <w:r>
        <w:t>10. リスク分析と監視すべき指標</w:t>
      </w:r>
    </w:p>
    <w:p>
      <w:pPr>
        <w:pStyle w:val="ListNumber"/>
      </w:pPr>
      <w:r>
        <w:t>11. 参入戦略の初期提言</w:t>
      </w:r>
    </w:p>
    <w:p>
      <w:pPr>
        <w:pStyle w:val="ListNumber"/>
      </w:pPr>
      <w:r>
        <w:t>12. 参考文献（国際機関・政府統計）</w:t>
      </w:r>
    </w:p>
    <w:p>
      <w:pPr>
        <w:pStyle w:val="ListNumber"/>
      </w:pPr>
      <w:r>
        <w:t>付録A：主要データ表（抜粋）</w:t>
      </w:r>
    </w:p>
    <w:p>
      <w:r>
        <w:br w:type="page"/>
      </w:r>
    </w:p>
    <w:p>
      <w:pPr>
        <w:pStyle w:val="Heading1"/>
      </w:pPr>
      <w:r>
        <w:t>1. エグゼクティブ・サマリー</w:t>
      </w:r>
    </w:p>
    <w:p>
      <w:r>
        <w:rPr>
          <w:b w:val="0"/>
          <w:i w:val="0"/>
        </w:rPr>
        <w:t>本レポートは、インド市場への参入可否および参入アプローチを検討するために、マクロ経済・人口動態・インフラ等の基礎データを、国際機関（IMF・世界銀行・ADB）およびインド政府統計（MOSPI、電力省）を一次情報源として整理したものである。総論として、インドは「継続的な高成長（年率6％台）」「着実に拡大する一人当たり所得」「都市化の進展」「物流および電力分野のボトルネック縮小」という追い風を有する一方、「所得分配のばらつき」「州別の規制差」「電力・配電の地域差」「外部ショック（貿易摩擦・為替）の感応度」といったリスクも無視できない。白物家電にとっては、都市部の中間層・経済的に安定した層を中心に、冷蔵庫・洗濯機・エアコンなどの普及・買い替え・高効率機器へのアップグレード需要が継続的に見込まれる。</w:t>
      </w:r>
    </w:p>
    <w:p>
      <w:pPr>
        <w:pStyle w:val="ListBullet"/>
      </w:pPr>
      <w:r>
        <w:t>実績トレンド：世界銀行の実質GDP成長率（2020–2024年）は、COVID-19後の反動を経て6–7％台へ着地。</w:t>
      </w:r>
    </w:p>
    <w:p>
      <w:pPr>
        <w:pStyle w:val="ListBullet"/>
      </w:pPr>
      <w:r>
        <w:t>IMF（2025年10月WEO）では、2025年6.6％、2026年6.2％、中期的にも概ね6.5％程度の成長を見込む。</w:t>
      </w:r>
    </w:p>
    <w:p>
      <w:pPr>
        <w:pStyle w:val="ListBullet"/>
      </w:pPr>
      <w:r>
        <w:t>一人当たり所得：2024年の一人当たりGDPは2,696.7米ドル（世界銀行）。政府統計では一人当たり国民可処分所得（名目）が上昇基調。</w:t>
      </w:r>
    </w:p>
    <w:p>
      <w:pPr>
        <w:pStyle w:val="ListBullet"/>
      </w:pPr>
      <w:r>
        <w:t>都市化：2024年の都市人口比率は36.9％（世界銀行）。絶対数では約5.3億人の都市居住者。</w:t>
      </w:r>
    </w:p>
    <w:p>
      <w:pPr>
        <w:pStyle w:val="ListBullet"/>
      </w:pPr>
      <w:r>
        <w:t>中間層：ADBの指標（$10–$100/日・2011PPP）に基づくと、直近時点で人口の約3割弱。定義により差が出るため注意。</w:t>
      </w:r>
    </w:p>
    <w:p>
      <w:pPr>
        <w:pStyle w:val="ListBullet"/>
      </w:pPr>
      <w:r>
        <w:t>インフラ：世界銀行LPI2023でインドは38位（総合3.4）。電力アクセスは99％超、送配電損失は低下傾向（世界銀行）。</w:t>
      </w:r>
    </w:p>
    <w:p>
      <w:r>
        <w:br w:type="page"/>
      </w:r>
    </w:p>
    <w:p>
      <w:pPr>
        <w:pStyle w:val="Heading1"/>
      </w:pPr>
      <w:r>
        <w:t>2. 本レポートの目的・方法・データ出典</w:t>
      </w:r>
    </w:p>
    <w:p>
      <w:r>
        <w:rPr>
          <w:b w:val="0"/>
          <w:i w:val="0"/>
        </w:rPr>
        <w:t>【目的】本レポートは、インドのマクロ経済環境・人口動態・インフラの実態と見通しを整理し、白物家電の潜在需要を考える上での前提情報を提供する。</w:t>
        <w:br/>
        <w:t>【方法】国際機関（IMF世界経済見通しWEO 2025年10月版、世界銀行World Development Indicators、ADB Key Indicators）およびインド政府統計（統計計画実施省MOSPIの国民経済計算、電力省の制度文書）等を参照し、主要KPIを表形式で提示した。</w:t>
        <w:br/>
        <w:t>【出典】主な出典URLは末尾の参考文献に一覧化した。数値は原典の改定に伴い修正されうる。</w:t>
      </w:r>
    </w:p>
    <w:p>
      <w:pPr>
        <w:pStyle w:val="Heading1"/>
      </w:pPr>
      <w:r>
        <w:t>3. マクロ経済の概況</w:t>
      </w:r>
    </w:p>
    <w:p>
      <w:r>
        <w:rPr>
          <w:b w:val="0"/>
          <w:i w:val="0"/>
        </w:rPr>
        <w:t>インド経済は、パンデミック後の回復局面を経て高成長基調へ復帰している。世界銀行の実質GDP成長率（年率）は、2020年▲5.8％、2021年＋9.7％、2022年＋7％台、2023年＋7％前後、2024年＋6.5％のレンジで推移。内需主導（民間消費と投資）の色彩が強く、外部環境の不確実性（貿易摩擦など）に対しても相対的に底堅い。</w:t>
      </w:r>
    </w:p>
    <w:p>
      <w:r>
        <w:rPr>
          <w:b/>
          <w:i w:val="0"/>
        </w:rPr>
        <w:t>【実質GDP成長率：5年トレンド（世界銀行、暦年ベース）】</w:t>
      </w:r>
    </w:p>
    <w:tbl>
      <w:tblPr>
        <w:tblStyle w:val="TableGrid"/>
        <w:tblW w:type="auto" w:w="0"/>
        <w:tblLook w:firstColumn="1" w:firstRow="1" w:lastColumn="0" w:lastRow="0" w:noHBand="0" w:noVBand="1" w:val="04A0"/>
      </w:tblPr>
      <w:tblGrid>
        <w:gridCol w:w="4320"/>
        <w:gridCol w:w="4320"/>
      </w:tblGrid>
      <w:tr>
        <w:tc>
          <w:tcPr>
            <w:tcW w:type="dxa" w:w="4320"/>
          </w:tcPr>
          <w:p>
            <w:r>
              <w:t>年</w:t>
            </w:r>
          </w:p>
        </w:tc>
        <w:tc>
          <w:tcPr>
            <w:tcW w:type="dxa" w:w="4320"/>
          </w:tcPr>
          <w:p>
            <w:r>
              <w:t>成長率（年率）</w:t>
            </w:r>
          </w:p>
        </w:tc>
      </w:tr>
      <w:tr>
        <w:tc>
          <w:tcPr>
            <w:tcW w:type="dxa" w:w="4320"/>
          </w:tcPr>
          <w:p>
            <w:r>
              <w:t>2020年</w:t>
            </w:r>
          </w:p>
        </w:tc>
        <w:tc>
          <w:tcPr>
            <w:tcW w:type="dxa" w:w="4320"/>
          </w:tcPr>
          <w:p>
            <w:r>
              <w:t>-5.8%</w:t>
            </w:r>
          </w:p>
        </w:tc>
      </w:tr>
      <w:tr>
        <w:tc>
          <w:tcPr>
            <w:tcW w:type="dxa" w:w="4320"/>
          </w:tcPr>
          <w:p>
            <w:r>
              <w:t>2021年</w:t>
            </w:r>
          </w:p>
        </w:tc>
        <w:tc>
          <w:tcPr>
            <w:tcW w:type="dxa" w:w="4320"/>
          </w:tcPr>
          <w:p>
            <w:r>
              <w:t>9.7%</w:t>
            </w:r>
          </w:p>
        </w:tc>
      </w:tr>
      <w:tr>
        <w:tc>
          <w:tcPr>
            <w:tcW w:type="dxa" w:w="4320"/>
          </w:tcPr>
          <w:p>
            <w:r>
              <w:t>2022年</w:t>
            </w:r>
          </w:p>
        </w:tc>
        <w:tc>
          <w:tcPr>
            <w:tcW w:type="dxa" w:w="4320"/>
          </w:tcPr>
          <w:p>
            <w:r>
              <w:t>7.6%（概数）</w:t>
            </w:r>
          </w:p>
        </w:tc>
      </w:tr>
      <w:tr>
        <w:tc>
          <w:tcPr>
            <w:tcW w:type="dxa" w:w="4320"/>
          </w:tcPr>
          <w:p>
            <w:r>
              <w:t>2023年</w:t>
            </w:r>
          </w:p>
        </w:tc>
        <w:tc>
          <w:tcPr>
            <w:tcW w:type="dxa" w:w="4320"/>
          </w:tcPr>
          <w:p>
            <w:r>
              <w:t>約7.0%</w:t>
            </w:r>
          </w:p>
        </w:tc>
      </w:tr>
      <w:tr>
        <w:tc>
          <w:tcPr>
            <w:tcW w:type="dxa" w:w="4320"/>
          </w:tcPr>
          <w:p>
            <w:r>
              <w:t>2024年</w:t>
            </w:r>
          </w:p>
        </w:tc>
        <w:tc>
          <w:tcPr>
            <w:tcW w:type="dxa" w:w="4320"/>
          </w:tcPr>
          <w:p>
            <w:r>
              <w:t>6.5%</w:t>
            </w:r>
          </w:p>
        </w:tc>
      </w:tr>
    </w:tbl>
    <w:p>
      <w:r>
        <w:rPr>
          <w:b w:val="0"/>
          <w:i w:val="0"/>
        </w:rPr>
        <w:t>注）世界銀行WDIの暦年統計に基づく。財政年度ベースの政府統計とは期間定義が異なるため差異がありうる。</w:t>
      </w:r>
    </w:p>
    <w:p>
      <w:pPr>
        <w:pStyle w:val="Heading1"/>
      </w:pPr>
      <w:r>
        <w:t>4. 成長見通し（5年間の予測）</w:t>
      </w:r>
    </w:p>
    <w:p>
      <w:r>
        <w:rPr>
          <w:b w:val="0"/>
          <w:i w:val="0"/>
        </w:rPr>
        <w:t>IMF世界経済見通し（WEO 2025年10月版）によれば、インドの2025年の実質GDP成長率は6.6％、2026年は6.2％と見込まれる。中期（2027–2029年）については、直近のIMFスタッフ報告・声明等において「概ね6.5％程度」の成長が示唆されており、本レポートでは保守的に年率6.4〜6.5％のレンジを仮置きした（年度ごとの最新公表値が入手可能になり次第、原典に合わせて更新する）。</w:t>
      </w:r>
    </w:p>
    <w:p>
      <w:r>
        <w:rPr>
          <w:b/>
          <w:i w:val="0"/>
        </w:rPr>
        <w:t>【実質GDP成長率：5年予測（IMFベース、一部は中期基準値の仮置き）】</w:t>
      </w:r>
    </w:p>
    <w:tbl>
      <w:tblPr>
        <w:tblStyle w:val="TableGrid"/>
        <w:tblW w:type="auto" w:w="0"/>
        <w:tblLook w:firstColumn="1" w:firstRow="1" w:lastColumn="0" w:lastRow="0" w:noHBand="0" w:noVBand="1" w:val="04A0"/>
      </w:tblPr>
      <w:tblGrid>
        <w:gridCol w:w="4320"/>
        <w:gridCol w:w="4320"/>
      </w:tblGrid>
      <w:tr>
        <w:tc>
          <w:tcPr>
            <w:tcW w:type="dxa" w:w="4320"/>
          </w:tcPr>
          <w:p>
            <w:r>
              <w:t>年</w:t>
            </w:r>
          </w:p>
        </w:tc>
        <w:tc>
          <w:tcPr>
            <w:tcW w:type="dxa" w:w="4320"/>
          </w:tcPr>
          <w:p>
            <w:r>
              <w:t>成長率（年率）</w:t>
            </w:r>
          </w:p>
        </w:tc>
      </w:tr>
      <w:tr>
        <w:tc>
          <w:tcPr>
            <w:tcW w:type="dxa" w:w="4320"/>
          </w:tcPr>
          <w:p>
            <w:r>
              <w:t>2025年（IMF WEO）</w:t>
            </w:r>
          </w:p>
        </w:tc>
        <w:tc>
          <w:tcPr>
            <w:tcW w:type="dxa" w:w="4320"/>
          </w:tcPr>
          <w:p>
            <w:r>
              <w:t>6.6%</w:t>
            </w:r>
          </w:p>
        </w:tc>
      </w:tr>
      <w:tr>
        <w:tc>
          <w:tcPr>
            <w:tcW w:type="dxa" w:w="4320"/>
          </w:tcPr>
          <w:p>
            <w:r>
              <w:t>2026年（IMF WEO）</w:t>
            </w:r>
          </w:p>
        </w:tc>
        <w:tc>
          <w:tcPr>
            <w:tcW w:type="dxa" w:w="4320"/>
          </w:tcPr>
          <w:p>
            <w:r>
              <w:t>6.2%</w:t>
            </w:r>
          </w:p>
        </w:tc>
      </w:tr>
      <w:tr>
        <w:tc>
          <w:tcPr>
            <w:tcW w:type="dxa" w:w="4320"/>
          </w:tcPr>
          <w:p>
            <w:r>
              <w:t>2027年（中期仮置き）</w:t>
            </w:r>
          </w:p>
        </w:tc>
        <w:tc>
          <w:tcPr>
            <w:tcW w:type="dxa" w:w="4320"/>
          </w:tcPr>
          <w:p>
            <w:r>
              <w:t>6.5%</w:t>
            </w:r>
          </w:p>
        </w:tc>
      </w:tr>
      <w:tr>
        <w:tc>
          <w:tcPr>
            <w:tcW w:type="dxa" w:w="4320"/>
          </w:tcPr>
          <w:p>
            <w:r>
              <w:t>2028年（中期仮置き）</w:t>
            </w:r>
          </w:p>
        </w:tc>
        <w:tc>
          <w:tcPr>
            <w:tcW w:type="dxa" w:w="4320"/>
          </w:tcPr>
          <w:p>
            <w:r>
              <w:t>6.4%</w:t>
            </w:r>
          </w:p>
        </w:tc>
      </w:tr>
      <w:tr>
        <w:tc>
          <w:tcPr>
            <w:tcW w:type="dxa" w:w="4320"/>
          </w:tcPr>
          <w:p>
            <w:r>
              <w:t>2029年（中期仮置き）</w:t>
            </w:r>
          </w:p>
        </w:tc>
        <w:tc>
          <w:tcPr>
            <w:tcW w:type="dxa" w:w="4320"/>
          </w:tcPr>
          <w:p>
            <w:r>
              <w:t>6.4%</w:t>
            </w:r>
          </w:p>
        </w:tc>
      </w:tr>
    </w:tbl>
    <w:p>
      <w:r>
        <w:rPr>
          <w:b w:val="0"/>
          <w:i w:val="0"/>
        </w:rPr>
        <w:t>備考）「中期仮置き」は、IMFの中期見通し（おおむね6.5％前後）に整合させるための暫定値。</w:t>
      </w:r>
    </w:p>
    <w:p>
      <w:r>
        <w:br w:type="page"/>
      </w:r>
    </w:p>
    <w:p>
      <w:pPr>
        <w:pStyle w:val="Heading1"/>
      </w:pPr>
      <w:r>
        <w:t>5. 所得水準：一人当たり所得と可処分所得</w:t>
      </w:r>
    </w:p>
    <w:p>
      <w:r>
        <w:rPr>
          <w:b w:val="0"/>
          <w:i w:val="0"/>
        </w:rPr>
        <w:t>世界銀行によると、2024年の一人当たりGDP（名目、米ドル）は2,696.7ドル。インド政府（MOSPI）の国民経済計算では、一人当たり国民所得（NNI）および一人当たり国民可処分所得（GNDI）が公表されており、名目ベースで近年上昇が続く。以下は直近3期（財政年度）の推移（単位：インド・ルピー）。</w:t>
      </w:r>
    </w:p>
    <w:p>
      <w:r>
        <w:rPr>
          <w:b/>
          <w:i w:val="0"/>
        </w:rPr>
        <w:t>【一人当たり所得関連（名目、INR）】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年度</w:t>
            </w:r>
          </w:p>
        </w:tc>
        <w:tc>
          <w:tcPr>
            <w:tcW w:type="dxa" w:w="1728"/>
          </w:tcPr>
          <w:p>
            <w:r>
              <w:t>GDP</w:t>
            </w:r>
          </w:p>
        </w:tc>
        <w:tc>
          <w:tcPr>
            <w:tcW w:type="dxa" w:w="1728"/>
          </w:tcPr>
          <w:p>
            <w:r>
              <w:t>NNI（国民所得）</w:t>
            </w:r>
          </w:p>
        </w:tc>
        <w:tc>
          <w:tcPr>
            <w:tcW w:type="dxa" w:w="1728"/>
          </w:tcPr>
          <w:p>
            <w:r>
              <w:t>GNDI（国民可処分所得）</w:t>
            </w:r>
          </w:p>
        </w:tc>
        <w:tc>
          <w:tcPr>
            <w:tcW w:type="dxa" w:w="1728"/>
          </w:tcPr>
          <w:p>
            <w:r>
              <w:t>PFCE（一人当たり民間最終消費）</w:t>
            </w:r>
          </w:p>
        </w:tc>
      </w:tr>
      <w:tr>
        <w:tc>
          <w:tcPr>
            <w:tcW w:type="dxa" w:w="1728"/>
          </w:tcPr>
          <w:p>
            <w:r>
              <w:t>2022-23（確報）</w:t>
            </w:r>
          </w:p>
        </w:tc>
        <w:tc>
          <w:tcPr>
            <w:tcW w:type="dxa" w:w="1728"/>
          </w:tcPr>
          <w:p>
            <w:r>
              <w:t>一人当たりGDP：194,451</w:t>
            </w:r>
          </w:p>
        </w:tc>
        <w:tc>
          <w:tcPr>
            <w:tcW w:type="dxa" w:w="1728"/>
          </w:tcPr>
          <w:p>
            <w:r>
              <w:t>一人当たりNNI：169,145</w:t>
            </w:r>
          </w:p>
        </w:tc>
        <w:tc>
          <w:tcPr>
            <w:tcW w:type="dxa" w:w="1728"/>
          </w:tcPr>
          <w:p>
            <w:r>
              <w:t>一人当たりGNDI：197,697</w:t>
            </w:r>
          </w:p>
        </w:tc>
        <w:tc>
          <w:tcPr>
            <w:tcW w:type="dxa" w:w="1728"/>
          </w:tcPr>
          <w:p>
            <w:r>
              <w:t>一人当たりPFCE：119,516</w:t>
            </w:r>
          </w:p>
        </w:tc>
      </w:tr>
      <w:tr>
        <w:tc>
          <w:tcPr>
            <w:tcW w:type="dxa" w:w="1728"/>
          </w:tcPr>
          <w:p>
            <w:r>
              <w:t>2023-24（第一次改定）</w:t>
            </w:r>
          </w:p>
        </w:tc>
        <w:tc>
          <w:tcPr>
            <w:tcW w:type="dxa" w:w="1728"/>
          </w:tcPr>
          <w:p>
            <w:r>
              <w:t>一人当たりGDP：215,935</w:t>
            </w:r>
          </w:p>
        </w:tc>
        <w:tc>
          <w:tcPr>
            <w:tcW w:type="dxa" w:w="1728"/>
          </w:tcPr>
          <w:p>
            <w:r>
              <w:t>一人当たりNNI：188,892</w:t>
            </w:r>
          </w:p>
        </w:tc>
        <w:tc>
          <w:tcPr>
            <w:tcW w:type="dxa" w:w="1728"/>
          </w:tcPr>
          <w:p>
            <w:r>
              <w:t>一人当たりGNDI：219,312</w:t>
            </w:r>
          </w:p>
        </w:tc>
        <w:tc>
          <w:tcPr>
            <w:tcW w:type="dxa" w:w="1728"/>
          </w:tcPr>
          <w:p>
            <w:r>
              <w:t>一人当たりPFCE：129,967</w:t>
            </w:r>
          </w:p>
        </w:tc>
      </w:tr>
      <w:tr>
        <w:tc>
          <w:tcPr>
            <w:tcW w:type="dxa" w:w="1728"/>
          </w:tcPr>
          <w:p>
            <w:r>
              <w:t>2024-25（速報）</w:t>
            </w:r>
          </w:p>
        </w:tc>
        <w:tc>
          <w:tcPr>
            <w:tcW w:type="dxa" w:w="1728"/>
          </w:tcPr>
          <w:p>
            <w:r>
              <w:t>一人当たりGDP：234,859</w:t>
            </w:r>
          </w:p>
        </w:tc>
        <w:tc>
          <w:tcPr>
            <w:tcW w:type="dxa" w:w="1728"/>
          </w:tcPr>
          <w:p>
            <w:r>
              <w:t>一人当たりNNI：205,324</w:t>
            </w:r>
          </w:p>
        </w:tc>
        <w:tc>
          <w:tcPr>
            <w:tcW w:type="dxa" w:w="1728"/>
          </w:tcPr>
          <w:p>
            <w:r>
              <w:t>一人当たりGNDI：238,270</w:t>
            </w:r>
          </w:p>
        </w:tc>
        <w:tc>
          <w:tcPr>
            <w:tcW w:type="dxa" w:w="1728"/>
          </w:tcPr>
          <w:p>
            <w:r>
              <w:t>一人当たりPFCE：144,165</w:t>
            </w:r>
          </w:p>
        </w:tc>
      </w:tr>
    </w:tbl>
    <w:p>
      <w:r>
        <w:rPr>
          <w:b w:val="0"/>
          <w:i w:val="0"/>
        </w:rPr>
        <w:t>注）数値はMOSPIプレスノート（2025年5月30日）に掲載の表から転記。通貨はINR（名目）。</w:t>
      </w:r>
    </w:p>
    <w:p>
      <w:pPr>
        <w:pStyle w:val="Heading1"/>
      </w:pPr>
      <w:r>
        <w:t>6. 人口動態：都市化・年齢構成・労働力人口</w:t>
      </w:r>
    </w:p>
    <w:p>
      <w:r>
        <w:rPr>
          <w:b/>
          <w:i w:val="0"/>
        </w:rPr>
        <w:t>【人口・都市化の要点】</w:t>
      </w:r>
    </w:p>
    <w:tbl>
      <w:tblPr>
        <w:tblStyle w:val="TableGrid"/>
        <w:tblW w:type="auto" w:w="0"/>
        <w:tblLook w:firstColumn="1" w:firstRow="1" w:lastColumn="0" w:lastRow="0" w:noHBand="0" w:noVBand="1" w:val="04A0"/>
      </w:tblPr>
      <w:tblGrid>
        <w:gridCol w:w="4320"/>
        <w:gridCol w:w="4320"/>
      </w:tblGrid>
      <w:tr>
        <w:tc>
          <w:tcPr>
            <w:tcW w:type="dxa" w:w="4320"/>
          </w:tcPr>
          <w:p>
            <w:r>
              <w:t>項目</w:t>
            </w:r>
          </w:p>
        </w:tc>
        <w:tc>
          <w:tcPr>
            <w:tcW w:type="dxa" w:w="4320"/>
          </w:tcPr>
          <w:p>
            <w:r>
              <w:t>値</w:t>
            </w:r>
          </w:p>
        </w:tc>
      </w:tr>
      <w:tr>
        <w:tc>
          <w:tcPr>
            <w:tcW w:type="dxa" w:w="4320"/>
          </w:tcPr>
          <w:p>
            <w:r>
              <w:t>総人口（2024年）</w:t>
            </w:r>
          </w:p>
        </w:tc>
        <w:tc>
          <w:tcPr>
            <w:tcW w:type="dxa" w:w="4320"/>
          </w:tcPr>
          <w:p>
            <w:r>
              <w:t>約1.45十億人</w:t>
            </w:r>
          </w:p>
        </w:tc>
      </w:tr>
      <w:tr>
        <w:tc>
          <w:tcPr>
            <w:tcW w:type="dxa" w:w="4320"/>
          </w:tcPr>
          <w:p>
            <w:r>
              <w:t>都市人口比率（2024年）</w:t>
            </w:r>
          </w:p>
        </w:tc>
        <w:tc>
          <w:tcPr>
            <w:tcW w:type="dxa" w:w="4320"/>
          </w:tcPr>
          <w:p>
            <w:r>
              <w:t>36.9%（都市人口 約535.0百万人）</w:t>
            </w:r>
          </w:p>
        </w:tc>
      </w:tr>
      <w:tr>
        <w:tc>
          <w:tcPr>
            <w:tcW w:type="dxa" w:w="4320"/>
          </w:tcPr>
          <w:p>
            <w:r>
              <w:t>農村人口比率（2024年）</w:t>
            </w:r>
          </w:p>
        </w:tc>
        <w:tc>
          <w:tcPr>
            <w:tcW w:type="dxa" w:w="4320"/>
          </w:tcPr>
          <w:p>
            <w:r>
              <w:t>63.1%（農村人口 約915.0百万人）</w:t>
            </w:r>
          </w:p>
        </w:tc>
      </w:tr>
      <w:tr>
        <w:tc>
          <w:tcPr>
            <w:tcW w:type="dxa" w:w="4320"/>
          </w:tcPr>
          <w:p>
            <w:r>
              <w:t>生産年齢人口比率（15–64歳、2024年）</w:t>
            </w:r>
          </w:p>
        </w:tc>
        <w:tc>
          <w:tcPr>
            <w:tcW w:type="dxa" w:w="4320"/>
          </w:tcPr>
          <w:p>
            <w:r>
              <w:t>約68.23%</w:t>
            </w:r>
          </w:p>
        </w:tc>
      </w:tr>
    </w:tbl>
    <w:p>
      <w:r>
        <w:rPr>
          <w:b w:val="0"/>
          <w:i w:val="0"/>
        </w:rPr>
        <w:t>需要面では、都市部における世帯数の増加、核家族化、住宅の床面積・設備の改善が、白物家電の普及・更新需要を押し上げる。一方で、農村市場は電化・可処分所得の増加に伴い初期普及が進む段階であり、価格帯と耐久性（電圧変動耐性など）の両立が鍵となる。</w:t>
      </w:r>
    </w:p>
    <w:p>
      <w:r>
        <w:br w:type="page"/>
      </w:r>
    </w:p>
    <w:p>
      <w:pPr>
        <w:pStyle w:val="Heading1"/>
      </w:pPr>
      <w:r>
        <w:t>7. 中間層の規模と成長見通し</w:t>
      </w:r>
    </w:p>
    <w:p>
      <w:r>
        <w:rPr>
          <w:b w:val="0"/>
          <w:i w:val="0"/>
        </w:rPr>
        <w:t>国際機関間で中間層の定義は統一されていない。ADB Key Indicators（2010年以降の研究・各年版の解説）では、しばしば「1人あたり1日$10〜$100（2011年PPP）」を中間層と定義する。近年のADB資料では、インドの「中間層」に該当する人口は、概ね人口の3割弱という推計が提示されている（定義・年次により差異）。</w:t>
      </w:r>
    </w:p>
    <w:p>
      <w:r>
        <w:rPr>
          <w:b/>
          <w:i w:val="0"/>
        </w:rPr>
        <w:t>【中間層（参考定義と目安）】</w:t>
      </w:r>
    </w:p>
    <w:tbl>
      <w:tblPr>
        <w:tblStyle w:val="TableGrid"/>
        <w:tblW w:type="auto" w:w="0"/>
        <w:tblLook w:firstColumn="1" w:firstRow="1" w:lastColumn="0" w:lastRow="0" w:noHBand="0" w:noVBand="1" w:val="04A0"/>
      </w:tblPr>
      <w:tblGrid>
        <w:gridCol w:w="4320"/>
        <w:gridCol w:w="4320"/>
      </w:tblGrid>
      <w:tr>
        <w:tc>
          <w:tcPr>
            <w:tcW w:type="dxa" w:w="4320"/>
          </w:tcPr>
          <w:p>
            <w:r>
              <w:t>項目</w:t>
            </w:r>
          </w:p>
        </w:tc>
        <w:tc>
          <w:tcPr>
            <w:tcW w:type="dxa" w:w="4320"/>
          </w:tcPr>
          <w:p>
            <w:r>
              <w:t>内容</w:t>
            </w:r>
          </w:p>
        </w:tc>
      </w:tr>
      <w:tr>
        <w:tc>
          <w:tcPr>
            <w:tcW w:type="dxa" w:w="4320"/>
          </w:tcPr>
          <w:p>
            <w:r>
              <w:t>定義（例）</w:t>
            </w:r>
          </w:p>
        </w:tc>
        <w:tc>
          <w:tcPr>
            <w:tcW w:type="dxa" w:w="4320"/>
          </w:tcPr>
          <w:p>
            <w:r>
              <w:t>ADB：1人1日$10〜$100（2011年PPP）を中間層と定義</w:t>
            </w:r>
          </w:p>
        </w:tc>
      </w:tr>
      <w:tr>
        <w:tc>
          <w:tcPr>
            <w:tcW w:type="dxa" w:w="4320"/>
          </w:tcPr>
          <w:p>
            <w:r>
              <w:t>直近期の目安</w:t>
            </w:r>
          </w:p>
        </w:tc>
        <w:tc>
          <w:tcPr>
            <w:tcW w:type="dxa" w:w="4320"/>
          </w:tcPr>
          <w:p>
            <w:r>
              <w:t>中間層シェア：約28％前後（ADB、年次・定義差あり）</w:t>
            </w:r>
          </w:p>
        </w:tc>
      </w:tr>
      <w:tr>
        <w:tc>
          <w:tcPr>
            <w:tcW w:type="dxa" w:w="4320"/>
          </w:tcPr>
          <w:p>
            <w:r>
              <w:t>注記</w:t>
            </w:r>
          </w:p>
        </w:tc>
        <w:tc>
          <w:tcPr>
            <w:tcW w:type="dxa" w:w="4320"/>
          </w:tcPr>
          <w:p>
            <w:r>
              <w:t>世界銀行は貧困線（$2.15/$3.65/$6.85 2017PPP）を用いた階層把握が主流で、「中間層」指標は研究・報告により閾値が異なる。</w:t>
            </w:r>
          </w:p>
        </w:tc>
      </w:tr>
    </w:tbl>
    <w:p>
      <w:r>
        <w:rPr>
          <w:b w:val="0"/>
          <w:i w:val="0"/>
        </w:rPr>
        <w:t>示唆）都市部の経済的に安定した層と、農村部の新規可処分所得獲得層の双方にターゲットを広げ、価格帯の階段設計とアフターサービス網の最適配置が有効。</w:t>
      </w:r>
    </w:p>
    <w:p>
      <w:pPr>
        <w:pStyle w:val="Heading1"/>
      </w:pPr>
      <w:r>
        <w:t>8. 物流・電力等のインフラ品質評価</w:t>
      </w:r>
    </w:p>
    <w:p>
      <w:r>
        <w:rPr>
          <w:b/>
          <w:i w:val="0"/>
        </w:rPr>
        <w:t>【世界銀行LPI 2023：インドのスコア（主な下位指標）】</w:t>
      </w:r>
    </w:p>
    <w:tbl>
      <w:tblPr>
        <w:tblStyle w:val="TableGrid"/>
        <w:tblW w:type="auto" w:w="0"/>
        <w:tblLook w:firstColumn="1" w:firstRow="1" w:lastColumn="0" w:lastRow="0" w:noHBand="0" w:noVBand="1" w:val="04A0"/>
      </w:tblPr>
      <w:tblGrid>
        <w:gridCol w:w="4320"/>
        <w:gridCol w:w="4320"/>
      </w:tblGrid>
      <w:tr>
        <w:tc>
          <w:tcPr>
            <w:tcW w:type="dxa" w:w="4320"/>
          </w:tcPr>
          <w:p>
            <w:r>
              <w:t>指標</w:t>
            </w:r>
          </w:p>
        </w:tc>
        <w:tc>
          <w:tcPr>
            <w:tcW w:type="dxa" w:w="4320"/>
          </w:tcPr>
          <w:p>
            <w:r>
              <w:t>値</w:t>
            </w:r>
          </w:p>
        </w:tc>
      </w:tr>
      <w:tr>
        <w:tc>
          <w:tcPr>
            <w:tcW w:type="dxa" w:w="4320"/>
          </w:tcPr>
          <w:p>
            <w:r>
              <w:t>総合ランク/スコア（2023）</w:t>
            </w:r>
          </w:p>
        </w:tc>
        <w:tc>
          <w:tcPr>
            <w:tcW w:type="dxa" w:w="4320"/>
          </w:tcPr>
          <w:p>
            <w:r>
              <w:t>38位 / 3.4</w:t>
            </w:r>
          </w:p>
        </w:tc>
      </w:tr>
      <w:tr>
        <w:tc>
          <w:tcPr>
            <w:tcW w:type="dxa" w:w="4320"/>
          </w:tcPr>
          <w:p>
            <w:r>
              <w:t>税関（ランク/スコア）</w:t>
            </w:r>
          </w:p>
        </w:tc>
        <w:tc>
          <w:tcPr>
            <w:tcW w:type="dxa" w:w="4320"/>
          </w:tcPr>
          <w:p>
            <w:r>
              <w:t>47位 / 3.0</w:t>
            </w:r>
          </w:p>
        </w:tc>
      </w:tr>
      <w:tr>
        <w:tc>
          <w:tcPr>
            <w:tcW w:type="dxa" w:w="4320"/>
          </w:tcPr>
          <w:p>
            <w:r>
              <w:t>インフラ（ランク/スコア）</w:t>
            </w:r>
          </w:p>
        </w:tc>
        <w:tc>
          <w:tcPr>
            <w:tcW w:type="dxa" w:w="4320"/>
          </w:tcPr>
          <w:p>
            <w:r>
              <w:t>47位 / 3.2</w:t>
            </w:r>
          </w:p>
        </w:tc>
      </w:tr>
      <w:tr>
        <w:tc>
          <w:tcPr>
            <w:tcW w:type="dxa" w:w="4320"/>
          </w:tcPr>
          <w:p>
            <w:r>
              <w:t>国際輸送（ランク/スコア）</w:t>
            </w:r>
          </w:p>
        </w:tc>
        <w:tc>
          <w:tcPr>
            <w:tcW w:type="dxa" w:w="4320"/>
          </w:tcPr>
          <w:p>
            <w:r>
              <w:t>22位 / 3.5</w:t>
            </w:r>
          </w:p>
        </w:tc>
      </w:tr>
      <w:tr>
        <w:tc>
          <w:tcPr>
            <w:tcW w:type="dxa" w:w="4320"/>
          </w:tcPr>
          <w:p>
            <w:r>
              <w:t>物流能力（ランク/スコア）</w:t>
            </w:r>
          </w:p>
        </w:tc>
        <w:tc>
          <w:tcPr>
            <w:tcW w:type="dxa" w:w="4320"/>
          </w:tcPr>
          <w:p>
            <w:r>
              <w:t>38位 / 3.5</w:t>
            </w:r>
          </w:p>
        </w:tc>
      </w:tr>
      <w:tr>
        <w:tc>
          <w:tcPr>
            <w:tcW w:type="dxa" w:w="4320"/>
          </w:tcPr>
          <w:p>
            <w:r>
              <w:t>追跡性（ランク/スコア）</w:t>
            </w:r>
          </w:p>
        </w:tc>
        <w:tc>
          <w:tcPr>
            <w:tcW w:type="dxa" w:w="4320"/>
          </w:tcPr>
          <w:p>
            <w:r>
              <w:t>41位 / 3.4</w:t>
            </w:r>
          </w:p>
        </w:tc>
      </w:tr>
      <w:tr>
        <w:tc>
          <w:tcPr>
            <w:tcW w:type="dxa" w:w="4320"/>
          </w:tcPr>
          <w:p>
            <w:r>
              <w:t>時間厳守（ランク/スコア）</w:t>
            </w:r>
          </w:p>
        </w:tc>
        <w:tc>
          <w:tcPr>
            <w:tcW w:type="dxa" w:w="4320"/>
          </w:tcPr>
          <w:p>
            <w:r>
              <w:t>35位 / 3.6</w:t>
            </w:r>
          </w:p>
        </w:tc>
      </w:tr>
    </w:tbl>
    <w:p>
      <w:r>
        <w:rPr>
          <w:b w:val="0"/>
          <w:i w:val="0"/>
        </w:rPr>
        <w:t>物流面では、主要港・貨物鉄道・国道網の整備やデジタル化の進展により、国際輸送と時間厳守の指標が相対的に良好。通関・インフラ品質は改善余地が残るが、長期計画（Gati Shakti等）に沿って改善が続く見通し。</w:t>
      </w:r>
    </w:p>
    <w:p>
      <w:r>
        <w:rPr>
          <w:b/>
          <w:i w:val="0"/>
        </w:rPr>
        <w:t>【電力関連の指標】</w:t>
      </w:r>
    </w:p>
    <w:tbl>
      <w:tblPr>
        <w:tblStyle w:val="TableGrid"/>
        <w:tblW w:type="auto" w:w="0"/>
        <w:tblLook w:firstColumn="1" w:firstRow="1" w:lastColumn="0" w:lastRow="0" w:noHBand="0" w:noVBand="1" w:val="04A0"/>
      </w:tblPr>
      <w:tblGrid>
        <w:gridCol w:w="4320"/>
        <w:gridCol w:w="4320"/>
      </w:tblGrid>
      <w:tr>
        <w:tc>
          <w:tcPr>
            <w:tcW w:type="dxa" w:w="4320"/>
          </w:tcPr>
          <w:p>
            <w:r>
              <w:t>項目</w:t>
            </w:r>
          </w:p>
        </w:tc>
        <w:tc>
          <w:tcPr>
            <w:tcW w:type="dxa" w:w="4320"/>
          </w:tcPr>
          <w:p>
            <w:r>
              <w:t>値</w:t>
            </w:r>
          </w:p>
        </w:tc>
      </w:tr>
      <w:tr>
        <w:tc>
          <w:tcPr>
            <w:tcW w:type="dxa" w:w="4320"/>
          </w:tcPr>
          <w:p>
            <w:r>
              <w:t>電力アクセス（人口比、2023）</w:t>
            </w:r>
          </w:p>
        </w:tc>
        <w:tc>
          <w:tcPr>
            <w:tcW w:type="dxa" w:w="4320"/>
          </w:tcPr>
          <w:p>
            <w:r>
              <w:t>約99.5％</w:t>
            </w:r>
          </w:p>
        </w:tc>
      </w:tr>
      <w:tr>
        <w:tc>
          <w:tcPr>
            <w:tcW w:type="dxa" w:w="4320"/>
          </w:tcPr>
          <w:p>
            <w:r>
              <w:t>送配電損失（対発電量、2022）</w:t>
            </w:r>
          </w:p>
        </w:tc>
        <w:tc>
          <w:tcPr>
            <w:tcW w:type="dxa" w:w="4320"/>
          </w:tcPr>
          <w:p>
            <w:r>
              <w:t>約14.9％（低下傾向）</w:t>
            </w:r>
          </w:p>
        </w:tc>
      </w:tr>
      <w:tr>
        <w:tc>
          <w:tcPr>
            <w:tcW w:type="dxa" w:w="4320"/>
          </w:tcPr>
          <w:p>
            <w:r>
              <w:t>制度（参考）</w:t>
            </w:r>
          </w:p>
        </w:tc>
        <w:tc>
          <w:tcPr>
            <w:tcW w:type="dxa" w:w="4320"/>
          </w:tcPr>
          <w:p>
            <w:r>
              <w:t>配電改善：Revamped Distribution Sector Scheme（RDSS）等が進行中</w:t>
            </w:r>
          </w:p>
        </w:tc>
      </w:tr>
    </w:tbl>
    <w:p>
      <w:r>
        <w:rPr>
          <w:b w:val="0"/>
          <w:i w:val="0"/>
        </w:rPr>
        <w:t>白物家電の稼働品質に直結する電力の安定性は地域差があるものの、全国的にはアクセスのほぼ普及、損失率の改善が進行。ボラティリティ（電圧変動・瞬停）に配慮した設計（高い電圧許容・保護回路・コンプレッサ制御等）が依然として競争優位に繋がる。</w:t>
      </w:r>
    </w:p>
    <w:p>
      <w:r>
        <w:br w:type="page"/>
      </w:r>
    </w:p>
    <w:p>
      <w:pPr>
        <w:pStyle w:val="Heading1"/>
      </w:pPr>
      <w:r>
        <w:t>9. 白物家電市場への含意（需要ドライバーと障壁）</w:t>
      </w:r>
    </w:p>
    <w:p>
      <w:r>
        <w:rPr>
          <w:b w:val="0"/>
          <w:i w:val="0"/>
        </w:rPr>
        <w:t>需要ドライバー：</w:t>
        <w:br/>
        <w:t>・所得上昇と雇用の formal 化：中位価格帯の冷蔵庫・洗濯機を中心に普及・買い替えが継続。</w:t>
        <w:br/>
        <w:t>・都市化・住宅改善：集合住宅や中間層向け住宅の増加により、静音性・省スペース・高効率への志向が強まる。</w:t>
        <w:br/>
        <w:t>・インフラ改善：物流・電力のボトルネック緩和により、故障率・配送コスト・納期の改善余地。</w:t>
        <w:br/>
        <w:t>・政策の後押し：省エネラベリング、関税・PLIs等のサプライチェーン政策が国内調達・現地化を促す。</w:t>
        <w:br/>
        <w:br/>
        <w:t>障壁・留意点：</w:t>
        <w:br/>
        <w:t>・所得分布のばらつき：価格感応度が高い層が依然として厚い。多価格帯ポートフォリオと金融（分割・BNPL）が鍵。</w:t>
        <w:br/>
        <w:t>・州別規制・税制・ロジ：倉庫・サービス網の設計は州境・関税・言語対応を踏まえた最適化が必要。</w:t>
        <w:br/>
        <w:t>・為替・貿易摩擦：部材輸入のコスト・価格転嫁能力に影響。ヘッジ方針とローカル化のバランスが肝要。</w:t>
      </w:r>
    </w:p>
    <w:p>
      <w:pPr>
        <w:pStyle w:val="Heading1"/>
      </w:pPr>
      <w:r>
        <w:t>10. リスク分析と監視すべき指標</w:t>
      </w:r>
    </w:p>
    <w:p>
      <w:r>
        <w:rPr>
          <w:b w:val="0"/>
          <w:i w:val="0"/>
        </w:rPr>
        <w:t>マクロ：世界成長鈍化、原材料価格、為替（INR）ボラティリティ、外部関税ショック。</w:t>
        <w:br/>
        <w:t>政策：関税・PLIs等の制度変更、電力料金・炭素政策、州政府の補助金・規制。</w:t>
        <w:br/>
        <w:t>インフラ：港湾混雑、モンスーン期の供給網寸断、配電会社（DISCOM）の財務健全性。</w:t>
        <w:br/>
        <w:t>需要：食品インフレ等による実質可処分所得の変動、消費者金融規制の引き締め。</w:t>
      </w:r>
    </w:p>
    <w:p>
      <w:r>
        <w:rPr>
          <w:b w:val="0"/>
          <w:i w:val="0"/>
        </w:rPr>
        <w:t>監視指標（例）：</w:t>
        <w:br/>
        <w:t>・IMF/世界銀行の最新成長見通し改定</w:t>
        <w:br/>
        <w:t>・CPI（食品・エネルギー）と政策金利</w:t>
        <w:br/>
        <w:t>・為替（公式年平均）・輸入関税・貿易措置</w:t>
        <w:br/>
        <w:t>・LPI等の物流KPI、配送リードタイム</w:t>
        <w:br/>
        <w:t>・送配電損失、停電指標（州別）</w:t>
      </w:r>
    </w:p>
    <w:p>
      <w:r>
        <w:br w:type="page"/>
      </w:r>
    </w:p>
    <w:p>
      <w:pPr>
        <w:pStyle w:val="Heading1"/>
      </w:pPr>
      <w:r>
        <w:t>11. 参入戦略の初期提言</w:t>
      </w:r>
    </w:p>
    <w:p>
      <w:r>
        <w:rPr>
          <w:b w:val="0"/>
          <w:i w:val="0"/>
        </w:rPr>
        <w:t>① ポートフォリオ二層化：都市中間層向けの高効率・静音・プレミアム小型機と、価格重視層向けの堅牢・省修理設計の両建て。</w:t>
        <w:br/>
        <w:t>② 省エネ訴求：電力料金感応度が高い市場特性に合わせ、BEEスター高格付け・インバータ化・自然冷媒対応を標準化。</w:t>
        <w:br/>
        <w:t>③ ローカル化：主要部材（コンプレッサ・モータ・制御基板）の現地・近接国調達比率を高め、為替・関税リスクを低減。</w:t>
        <w:br/>
        <w:t>④ サービス網：州別の故障パターン・電圧事情を踏まえた部品在庫・即応体制。遠隔診断・予防保全で稼働率を最大化。</w:t>
        <w:br/>
        <w:t>⑤ 価格・金融：分割払い・提携BNPLの活用、Eコマースとオフライン量販のハイブリッド販路戦略。</w:t>
      </w:r>
    </w:p>
    <w:p>
      <w:pPr>
        <w:pStyle w:val="Heading1"/>
      </w:pPr>
      <w:r>
        <w:t>12. 参考文献（国際機関・政府統計）</w:t>
      </w:r>
    </w:p>
    <w:p>
      <w:r>
        <w:rPr>
          <w:b w:val="0"/>
          <w:i w:val="0"/>
        </w:rPr>
        <w:t>・IMF World Economic Outlook（2025年10月版）「World Economic Outlook, October 2025」: https://www.imf.org/en/Publications/WEO/Issues/2025/10/14/world-economic-outlook-october-2025</w:t>
      </w:r>
    </w:p>
    <w:p>
      <w:r>
        <w:rPr>
          <w:b w:val="0"/>
          <w:i w:val="0"/>
        </w:rPr>
        <w:t>・IMF「India and the IMF（At a Glance）」: https://www.imf.org/en/Countries/IND</w:t>
      </w:r>
    </w:p>
    <w:p>
      <w:r>
        <w:rPr>
          <w:b w:val="0"/>
          <w:i w:val="0"/>
        </w:rPr>
        <w:t>・世界銀行データ（WDI）「India | Data」: https://data.worldbank.org/country/india</w:t>
      </w:r>
    </w:p>
    <w:p>
      <w:r>
        <w:rPr>
          <w:b w:val="0"/>
          <w:i w:val="0"/>
        </w:rPr>
        <w:t>・世界銀行データ（WDI）「GDP growth (annual %) - India」: https://data.worldbank.org/indicator/NY.GDP.MKTP.KD.ZG?locations=IN</w:t>
      </w:r>
    </w:p>
    <w:p>
      <w:r>
        <w:rPr>
          <w:b w:val="0"/>
          <w:i w:val="0"/>
        </w:rPr>
        <w:t>・世界銀行データ（WDI）「GDP per capita (current US$) - India」: https://data.worldbank.org/indicator/NY.GDP.PCAP.CD?locations=IN</w:t>
      </w:r>
    </w:p>
    <w:p>
      <w:r>
        <w:rPr>
          <w:b w:val="0"/>
          <w:i w:val="0"/>
        </w:rPr>
        <w:t>・世界銀行データ（WDI）「Urban population (% of total) - India」: https://data.worldbank.org/indicator/SP.URB.TOTL.IN.ZS?locations=IN</w:t>
      </w:r>
    </w:p>
    <w:p>
      <w:r>
        <w:rPr>
          <w:b w:val="0"/>
          <w:i w:val="0"/>
        </w:rPr>
        <w:t>・世界銀行データ（WDI）「Access to electricity (% of population) - India」: https://data.worldbank.org/indicator/EG.ELC.ACCS.ZS?locations=IN</w:t>
      </w:r>
    </w:p>
    <w:p>
      <w:r>
        <w:rPr>
          <w:b w:val="0"/>
          <w:i w:val="0"/>
        </w:rPr>
        <w:t>・世界銀行データ（WDI）「Electric power transmission and distribution losses (% of output) - India」: https://data.worldbank.org/indicator/EG.ELC.LOSS.ZS?locations=IN</w:t>
      </w:r>
    </w:p>
    <w:p>
      <w:r>
        <w:rPr>
          <w:b w:val="0"/>
          <w:i w:val="0"/>
        </w:rPr>
        <w:t>・世界銀行 LPI 2023（インタラクティブ・データテーブル）: https://lpi.worldbank.org/international/global</w:t>
      </w:r>
    </w:p>
    <w:p>
      <w:r>
        <w:rPr>
          <w:b w:val="0"/>
          <w:i w:val="0"/>
        </w:rPr>
        <w:t>・ADB Key Indicators（各年版、India Key Indicators データライブラリ）: https://data.adb.org/dataset/india-key-indicators</w:t>
      </w:r>
    </w:p>
    <w:p>
      <w:r>
        <w:rPr>
          <w:b w:val="0"/>
          <w:i w:val="0"/>
        </w:rPr>
        <w:t>・MOSPI（インド統計省）プレスノート（2025年5月30日）: https://www.mospi.gov.in/sites/default/files/press_release/NAD_PR_30may2025.pdf</w:t>
      </w:r>
    </w:p>
    <w:p>
      <w:r>
        <w:rPr>
          <w:b w:val="0"/>
          <w:i w:val="0"/>
        </w:rPr>
        <w:t>・インド電力省 RDSS ガイドライン（参考）: https://powermin.gov.in/sites/default/files/uploads/Final_Revamped_Scheme_Guidelines.pdf</w:t>
      </w:r>
    </w:p>
    <w:p>
      <w:r>
        <w:br w:type="page"/>
      </w:r>
    </w:p>
    <w:p>
      <w:pPr>
        <w:pStyle w:val="Heading1"/>
      </w:pPr>
      <w:r>
        <w:t>付録A：主要データ表（抜粋）</w:t>
      </w:r>
    </w:p>
    <w:p>
      <w:r>
        <w:rPr>
          <w:b/>
          <w:i w:val="0"/>
        </w:rPr>
        <w:t>A-1 実質GDP成長率（世界銀行、暦年）</w:t>
      </w:r>
    </w:p>
    <w:tbl>
      <w:tblPr>
        <w:tblStyle w:val="TableGrid"/>
        <w:tblW w:type="auto" w:w="0"/>
        <w:tblLook w:firstColumn="1" w:firstRow="1" w:lastColumn="0" w:lastRow="0" w:noHBand="0" w:noVBand="1" w:val="04A0"/>
      </w:tblPr>
      <w:tblGrid>
        <w:gridCol w:w="4320"/>
        <w:gridCol w:w="4320"/>
      </w:tblGrid>
      <w:tr>
        <w:tc>
          <w:tcPr>
            <w:tcW w:type="dxa" w:w="4320"/>
          </w:tcPr>
          <w:p>
            <w:r>
              <w:t>年</w:t>
            </w:r>
          </w:p>
        </w:tc>
        <w:tc>
          <w:tcPr>
            <w:tcW w:type="dxa" w:w="4320"/>
          </w:tcPr>
          <w:p>
            <w:r>
              <w:t>成長率</w:t>
            </w:r>
          </w:p>
        </w:tc>
      </w:tr>
      <w:tr>
        <w:tc>
          <w:tcPr>
            <w:tcW w:type="dxa" w:w="4320"/>
          </w:tcPr>
          <w:p>
            <w:r>
              <w:t>2020年</w:t>
            </w:r>
          </w:p>
        </w:tc>
        <w:tc>
          <w:tcPr>
            <w:tcW w:type="dxa" w:w="4320"/>
          </w:tcPr>
          <w:p>
            <w:r>
              <w:t>-5.8%</w:t>
            </w:r>
          </w:p>
        </w:tc>
      </w:tr>
      <w:tr>
        <w:tc>
          <w:tcPr>
            <w:tcW w:type="dxa" w:w="4320"/>
          </w:tcPr>
          <w:p>
            <w:r>
              <w:t>2021年</w:t>
            </w:r>
          </w:p>
        </w:tc>
        <w:tc>
          <w:tcPr>
            <w:tcW w:type="dxa" w:w="4320"/>
          </w:tcPr>
          <w:p>
            <w:r>
              <w:t>9.7%</w:t>
            </w:r>
          </w:p>
        </w:tc>
      </w:tr>
      <w:tr>
        <w:tc>
          <w:tcPr>
            <w:tcW w:type="dxa" w:w="4320"/>
          </w:tcPr>
          <w:p>
            <w:r>
              <w:t>2022年</w:t>
            </w:r>
          </w:p>
        </w:tc>
        <w:tc>
          <w:tcPr>
            <w:tcW w:type="dxa" w:w="4320"/>
          </w:tcPr>
          <w:p>
            <w:r>
              <w:t>7.6%（概数）</w:t>
            </w:r>
          </w:p>
        </w:tc>
      </w:tr>
      <w:tr>
        <w:tc>
          <w:tcPr>
            <w:tcW w:type="dxa" w:w="4320"/>
          </w:tcPr>
          <w:p>
            <w:r>
              <w:t>2023年</w:t>
            </w:r>
          </w:p>
        </w:tc>
        <w:tc>
          <w:tcPr>
            <w:tcW w:type="dxa" w:w="4320"/>
          </w:tcPr>
          <w:p>
            <w:r>
              <w:t>約7.0%</w:t>
            </w:r>
          </w:p>
        </w:tc>
      </w:tr>
      <w:tr>
        <w:tc>
          <w:tcPr>
            <w:tcW w:type="dxa" w:w="4320"/>
          </w:tcPr>
          <w:p>
            <w:r>
              <w:t>2024年</w:t>
            </w:r>
          </w:p>
        </w:tc>
        <w:tc>
          <w:tcPr>
            <w:tcW w:type="dxa" w:w="4320"/>
          </w:tcPr>
          <w:p>
            <w:r>
              <w:t>6.5%</w:t>
            </w:r>
          </w:p>
        </w:tc>
      </w:tr>
    </w:tbl>
    <w:p>
      <w:r>
        <w:rPr>
          <w:b/>
          <w:i w:val="0"/>
        </w:rPr>
        <w:t>A-2 実質GDP成長率（IMFベース予測）</w:t>
      </w:r>
    </w:p>
    <w:tbl>
      <w:tblPr>
        <w:tblStyle w:val="TableGrid"/>
        <w:tblW w:type="auto" w:w="0"/>
        <w:tblLook w:firstColumn="1" w:firstRow="1" w:lastColumn="0" w:lastRow="0" w:noHBand="0" w:noVBand="1" w:val="04A0"/>
      </w:tblPr>
      <w:tblGrid>
        <w:gridCol w:w="4320"/>
        <w:gridCol w:w="4320"/>
      </w:tblGrid>
      <w:tr>
        <w:tc>
          <w:tcPr>
            <w:tcW w:type="dxa" w:w="4320"/>
          </w:tcPr>
          <w:p>
            <w:r>
              <w:t>年</w:t>
            </w:r>
          </w:p>
        </w:tc>
        <w:tc>
          <w:tcPr>
            <w:tcW w:type="dxa" w:w="4320"/>
          </w:tcPr>
          <w:p>
            <w:r>
              <w:t>成長率</w:t>
            </w:r>
          </w:p>
        </w:tc>
      </w:tr>
      <w:tr>
        <w:tc>
          <w:tcPr>
            <w:tcW w:type="dxa" w:w="4320"/>
          </w:tcPr>
          <w:p>
            <w:r>
              <w:t>2025年（IMF WEO）</w:t>
            </w:r>
          </w:p>
        </w:tc>
        <w:tc>
          <w:tcPr>
            <w:tcW w:type="dxa" w:w="4320"/>
          </w:tcPr>
          <w:p>
            <w:r>
              <w:t>6.6%</w:t>
            </w:r>
          </w:p>
        </w:tc>
      </w:tr>
      <w:tr>
        <w:tc>
          <w:tcPr>
            <w:tcW w:type="dxa" w:w="4320"/>
          </w:tcPr>
          <w:p>
            <w:r>
              <w:t>2026年（IMF WEO）</w:t>
            </w:r>
          </w:p>
        </w:tc>
        <w:tc>
          <w:tcPr>
            <w:tcW w:type="dxa" w:w="4320"/>
          </w:tcPr>
          <w:p>
            <w:r>
              <w:t>6.2%</w:t>
            </w:r>
          </w:p>
        </w:tc>
      </w:tr>
      <w:tr>
        <w:tc>
          <w:tcPr>
            <w:tcW w:type="dxa" w:w="4320"/>
          </w:tcPr>
          <w:p>
            <w:r>
              <w:t>2027年（中期仮置き）</w:t>
            </w:r>
          </w:p>
        </w:tc>
        <w:tc>
          <w:tcPr>
            <w:tcW w:type="dxa" w:w="4320"/>
          </w:tcPr>
          <w:p>
            <w:r>
              <w:t>6.5%</w:t>
            </w:r>
          </w:p>
        </w:tc>
      </w:tr>
      <w:tr>
        <w:tc>
          <w:tcPr>
            <w:tcW w:type="dxa" w:w="4320"/>
          </w:tcPr>
          <w:p>
            <w:r>
              <w:t>2028年（中期仮置き）</w:t>
            </w:r>
          </w:p>
        </w:tc>
        <w:tc>
          <w:tcPr>
            <w:tcW w:type="dxa" w:w="4320"/>
          </w:tcPr>
          <w:p>
            <w:r>
              <w:t>6.4%</w:t>
            </w:r>
          </w:p>
        </w:tc>
      </w:tr>
      <w:tr>
        <w:tc>
          <w:tcPr>
            <w:tcW w:type="dxa" w:w="4320"/>
          </w:tcPr>
          <w:p>
            <w:r>
              <w:t>2029年（中期仮置き）</w:t>
            </w:r>
          </w:p>
        </w:tc>
        <w:tc>
          <w:tcPr>
            <w:tcW w:type="dxa" w:w="4320"/>
          </w:tcPr>
          <w:p>
            <w:r>
              <w:t>6.4%</w:t>
            </w:r>
          </w:p>
        </w:tc>
      </w:tr>
    </w:tbl>
    <w:p>
      <w:r>
        <w:rPr>
          <w:b/>
          <w:i w:val="0"/>
        </w:rPr>
        <w:t>A-3 一人当たり所得関連（MOSPI、名目INR）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年度</w:t>
            </w:r>
          </w:p>
        </w:tc>
        <w:tc>
          <w:tcPr>
            <w:tcW w:type="dxa" w:w="1728"/>
          </w:tcPr>
          <w:p>
            <w:r>
              <w:t>GDP</w:t>
            </w:r>
          </w:p>
        </w:tc>
        <w:tc>
          <w:tcPr>
            <w:tcW w:type="dxa" w:w="1728"/>
          </w:tcPr>
          <w:p>
            <w:r>
              <w:t>NNI</w:t>
            </w:r>
          </w:p>
        </w:tc>
        <w:tc>
          <w:tcPr>
            <w:tcW w:type="dxa" w:w="1728"/>
          </w:tcPr>
          <w:p>
            <w:r>
              <w:t>GNDI</w:t>
            </w:r>
          </w:p>
        </w:tc>
        <w:tc>
          <w:tcPr>
            <w:tcW w:type="dxa" w:w="1728"/>
          </w:tcPr>
          <w:p>
            <w:r>
              <w:t>PFCE</w:t>
            </w:r>
          </w:p>
        </w:tc>
      </w:tr>
      <w:tr>
        <w:tc>
          <w:tcPr>
            <w:tcW w:type="dxa" w:w="1728"/>
          </w:tcPr>
          <w:p>
            <w:r>
              <w:t>2022-23（確報）</w:t>
            </w:r>
          </w:p>
        </w:tc>
        <w:tc>
          <w:tcPr>
            <w:tcW w:type="dxa" w:w="1728"/>
          </w:tcPr>
          <w:p>
            <w:r>
              <w:t>一人当たりGDP：194,451</w:t>
            </w:r>
          </w:p>
        </w:tc>
        <w:tc>
          <w:tcPr>
            <w:tcW w:type="dxa" w:w="1728"/>
          </w:tcPr>
          <w:p>
            <w:r>
              <w:t>一人当たりNNI：169,145</w:t>
            </w:r>
          </w:p>
        </w:tc>
        <w:tc>
          <w:tcPr>
            <w:tcW w:type="dxa" w:w="1728"/>
          </w:tcPr>
          <w:p>
            <w:r>
              <w:t>一人当たりGNDI：197,697</w:t>
            </w:r>
          </w:p>
        </w:tc>
        <w:tc>
          <w:tcPr>
            <w:tcW w:type="dxa" w:w="1728"/>
          </w:tcPr>
          <w:p>
            <w:r>
              <w:t>一人当たりPFCE：119,516</w:t>
            </w:r>
          </w:p>
        </w:tc>
      </w:tr>
      <w:tr>
        <w:tc>
          <w:tcPr>
            <w:tcW w:type="dxa" w:w="1728"/>
          </w:tcPr>
          <w:p>
            <w:r>
              <w:t>2023-24（第一次改定）</w:t>
            </w:r>
          </w:p>
        </w:tc>
        <w:tc>
          <w:tcPr>
            <w:tcW w:type="dxa" w:w="1728"/>
          </w:tcPr>
          <w:p>
            <w:r>
              <w:t>一人当たりGDP：215,935</w:t>
            </w:r>
          </w:p>
        </w:tc>
        <w:tc>
          <w:tcPr>
            <w:tcW w:type="dxa" w:w="1728"/>
          </w:tcPr>
          <w:p>
            <w:r>
              <w:t>一人当たりNNI：188,892</w:t>
            </w:r>
          </w:p>
        </w:tc>
        <w:tc>
          <w:tcPr>
            <w:tcW w:type="dxa" w:w="1728"/>
          </w:tcPr>
          <w:p>
            <w:r>
              <w:t>一人当たりGNDI：219,312</w:t>
            </w:r>
          </w:p>
        </w:tc>
        <w:tc>
          <w:tcPr>
            <w:tcW w:type="dxa" w:w="1728"/>
          </w:tcPr>
          <w:p>
            <w:r>
              <w:t>一人当たりPFCE：129,967</w:t>
            </w:r>
          </w:p>
        </w:tc>
      </w:tr>
      <w:tr>
        <w:tc>
          <w:tcPr>
            <w:tcW w:type="dxa" w:w="1728"/>
          </w:tcPr>
          <w:p>
            <w:r>
              <w:t>2024-25（速報）</w:t>
            </w:r>
          </w:p>
        </w:tc>
        <w:tc>
          <w:tcPr>
            <w:tcW w:type="dxa" w:w="1728"/>
          </w:tcPr>
          <w:p>
            <w:r>
              <w:t>一人当たりGDP：234,859</w:t>
            </w:r>
          </w:p>
        </w:tc>
        <w:tc>
          <w:tcPr>
            <w:tcW w:type="dxa" w:w="1728"/>
          </w:tcPr>
          <w:p>
            <w:r>
              <w:t>一人当たりNNI：205,324</w:t>
            </w:r>
          </w:p>
        </w:tc>
        <w:tc>
          <w:tcPr>
            <w:tcW w:type="dxa" w:w="1728"/>
          </w:tcPr>
          <w:p>
            <w:r>
              <w:t>一人当たりGNDI：238,270</w:t>
            </w:r>
          </w:p>
        </w:tc>
        <w:tc>
          <w:tcPr>
            <w:tcW w:type="dxa" w:w="1728"/>
          </w:tcPr>
          <w:p>
            <w:r>
              <w:t>一人当たりPFCE：144,165</w:t>
            </w:r>
          </w:p>
        </w:tc>
      </w:tr>
    </w:tbl>
    <w:p>
      <w:r>
        <w:rPr>
          <w:b/>
          <w:i w:val="0"/>
        </w:rPr>
        <w:t>A-4 都市化・年齢構成（世界銀行・UN推計）</w:t>
      </w:r>
    </w:p>
    <w:tbl>
      <w:tblPr>
        <w:tblStyle w:val="TableGrid"/>
        <w:tblW w:type="auto" w:w="0"/>
        <w:tblLook w:firstColumn="1" w:firstRow="1" w:lastColumn="0" w:lastRow="0" w:noHBand="0" w:noVBand="1" w:val="04A0"/>
      </w:tblPr>
      <w:tblGrid>
        <w:gridCol w:w="4320"/>
        <w:gridCol w:w="4320"/>
      </w:tblGrid>
      <w:tr>
        <w:tc>
          <w:tcPr>
            <w:tcW w:type="dxa" w:w="4320"/>
          </w:tcPr>
          <w:p>
            <w:r>
              <w:t>指標</w:t>
            </w:r>
          </w:p>
        </w:tc>
        <w:tc>
          <w:tcPr>
            <w:tcW w:type="dxa" w:w="4320"/>
          </w:tcPr>
          <w:p>
            <w:r>
              <w:t>値</w:t>
            </w:r>
          </w:p>
        </w:tc>
      </w:tr>
      <w:tr>
        <w:tc>
          <w:tcPr>
            <w:tcW w:type="dxa" w:w="4320"/>
          </w:tcPr>
          <w:p>
            <w:r>
              <w:t>総人口（2024年）</w:t>
            </w:r>
          </w:p>
        </w:tc>
        <w:tc>
          <w:tcPr>
            <w:tcW w:type="dxa" w:w="4320"/>
          </w:tcPr>
          <w:p>
            <w:r>
              <w:t>約1.45十億人</w:t>
            </w:r>
          </w:p>
        </w:tc>
      </w:tr>
      <w:tr>
        <w:tc>
          <w:tcPr>
            <w:tcW w:type="dxa" w:w="4320"/>
          </w:tcPr>
          <w:p>
            <w:r>
              <w:t>都市人口比率（2024年）</w:t>
            </w:r>
          </w:p>
        </w:tc>
        <w:tc>
          <w:tcPr>
            <w:tcW w:type="dxa" w:w="4320"/>
          </w:tcPr>
          <w:p>
            <w:r>
              <w:t>36.9%（都市人口 約535.0百万人）</w:t>
            </w:r>
          </w:p>
        </w:tc>
      </w:tr>
      <w:tr>
        <w:tc>
          <w:tcPr>
            <w:tcW w:type="dxa" w:w="4320"/>
          </w:tcPr>
          <w:p>
            <w:r>
              <w:t>農村人口比率（2024年）</w:t>
            </w:r>
          </w:p>
        </w:tc>
        <w:tc>
          <w:tcPr>
            <w:tcW w:type="dxa" w:w="4320"/>
          </w:tcPr>
          <w:p>
            <w:r>
              <w:t>63.1%（農村人口 約915.0百万人）</w:t>
            </w:r>
          </w:p>
        </w:tc>
      </w:tr>
      <w:tr>
        <w:tc>
          <w:tcPr>
            <w:tcW w:type="dxa" w:w="4320"/>
          </w:tcPr>
          <w:p>
            <w:r>
              <w:t>生産年齢人口比率（15–64歳、2024年）</w:t>
            </w:r>
          </w:p>
        </w:tc>
        <w:tc>
          <w:tcPr>
            <w:tcW w:type="dxa" w:w="4320"/>
          </w:tcPr>
          <w:p>
            <w:r>
              <w:t>約68.23%</w:t>
            </w:r>
          </w:p>
        </w:tc>
      </w:tr>
    </w:tbl>
    <w:p>
      <w:r>
        <w:rPr>
          <w:b/>
          <w:i w:val="0"/>
        </w:rPr>
        <w:t>A-5 物流・電力（世界銀行/LPI, WDI）</w:t>
      </w:r>
    </w:p>
    <w:tbl>
      <w:tblPr>
        <w:tblStyle w:val="TableGrid"/>
        <w:tblW w:type="auto" w:w="0"/>
        <w:tblLook w:firstColumn="1" w:firstRow="1" w:lastColumn="0" w:lastRow="0" w:noHBand="0" w:noVBand="1" w:val="04A0"/>
      </w:tblPr>
      <w:tblGrid>
        <w:gridCol w:w="4320"/>
        <w:gridCol w:w="4320"/>
      </w:tblGrid>
      <w:tr>
        <w:tc>
          <w:tcPr>
            <w:tcW w:type="dxa" w:w="4320"/>
          </w:tcPr>
          <w:p>
            <w:r>
              <w:t>項目</w:t>
            </w:r>
          </w:p>
        </w:tc>
        <w:tc>
          <w:tcPr>
            <w:tcW w:type="dxa" w:w="4320"/>
          </w:tcPr>
          <w:p>
            <w:r>
              <w:t>数値</w:t>
            </w:r>
          </w:p>
        </w:tc>
      </w:tr>
      <w:tr>
        <w:tc>
          <w:tcPr>
            <w:tcW w:type="dxa" w:w="4320"/>
          </w:tcPr>
          <w:p>
            <w:r>
              <w:t>LPI 総合（2023）</w:t>
            </w:r>
          </w:p>
        </w:tc>
        <w:tc>
          <w:tcPr>
            <w:tcW w:type="dxa" w:w="4320"/>
          </w:tcPr>
          <w:p>
            <w:r>
              <w:t>38位 / 3.4</w:t>
            </w:r>
          </w:p>
        </w:tc>
      </w:tr>
      <w:tr>
        <w:tc>
          <w:tcPr>
            <w:tcW w:type="dxa" w:w="4320"/>
          </w:tcPr>
          <w:p>
            <w:r>
              <w:t>LPI サブ（通関/インフラ/国際輸送/能力/追跡/時間）</w:t>
            </w:r>
          </w:p>
        </w:tc>
        <w:tc>
          <w:tcPr>
            <w:tcW w:type="dxa" w:w="4320"/>
          </w:tcPr>
          <w:p>
            <w:r>
              <w:t>47/47/22/38/41/35</w:t>
            </w:r>
          </w:p>
        </w:tc>
      </w:tr>
      <w:tr>
        <w:tc>
          <w:tcPr>
            <w:tcW w:type="dxa" w:w="4320"/>
          </w:tcPr>
          <w:p>
            <w:r>
              <w:t>電力アクセス（2023）</w:t>
            </w:r>
          </w:p>
        </w:tc>
        <w:tc>
          <w:tcPr>
            <w:tcW w:type="dxa" w:w="4320"/>
          </w:tcPr>
          <w:p>
            <w:r>
              <w:t>約99.5％</w:t>
            </w:r>
          </w:p>
        </w:tc>
      </w:tr>
      <w:tr>
        <w:tc>
          <w:tcPr>
            <w:tcW w:type="dxa" w:w="4320"/>
          </w:tcPr>
          <w:p>
            <w:r>
              <w:t>送配電損失（2022）</w:t>
            </w:r>
          </w:p>
        </w:tc>
        <w:tc>
          <w:tcPr>
            <w:tcW w:type="dxa" w:w="4320"/>
          </w:tcPr>
          <w:p>
            <w:r>
              <w:t>約14.9％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MS Minch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