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シンガポール市場 基礎調査レポート（家電・電気機器向け）</w:t>
      </w:r>
    </w:p>
    <w:p>
      <w:pPr>
        <w:jc w:val="left"/>
      </w:pPr>
      <w:r>
        <w:rPr>
          <w:i/>
        </w:rPr>
        <w:t>作成日：2025年10月16日</w:t>
        <w:br/>
        <w:t>作成者：国際事業アナリスト（家電）</w:t>
        <w:br/>
        <w:t>用途：市場参入可否の基礎判断・社内共有（10ページ以上・図なし／表と本文のみ）</w:t>
      </w:r>
    </w:p>
    <w:p>
      <w:r>
        <w:br w:type="page"/>
      </w:r>
    </w:p>
    <w:p>
      <w:pPr>
        <w:pStyle w:val="Heading1"/>
      </w:pPr>
      <w:r>
        <w:t>エグゼクティブサマリー</w:t>
      </w:r>
    </w:p>
    <w:p>
      <w:r>
        <w:rPr>
          <w:b w:val="0"/>
          <w:i w:val="0"/>
        </w:rPr>
        <w:t>本レポートは、当社（電気・家庭用電化製品メーカー）のシンガポール市場への本格展開を検討するため、マクロ経済・人口動態およびインフラ面の基礎データを、国際機関（IMF・世界銀行・ADB）とシンガポール政府統計（SingStat/EMA）に限定して収集・整理したものである。シンガポールは一国家＝一都市の高所得経済であり、都市化率は100％、物流・電力インフラは世界最高水準で、実質GDP成長率は2025年に鈍化（IMF見通し1.7％）後、中期的に2.3〜2.5％程度へと回復する基調が見込まれる。世帯の可処分所得（個人可処分所得PDIの代理指標）は2024年通年で概ねS$348.1億に達し、一人当たりでは年間約S$58,016と試算される。家電需要の基本ドライバー（所得・都市居住・インフラ安定性）はいずれも良好で、中価格帯〜プレミアム帯の電化製品における置換・高付加価値化が主軸となる。</w:t>
      </w:r>
    </w:p>
    <w:p>
      <w:r>
        <w:rPr>
          <w:b w:val="0"/>
          <w:i w:val="0"/>
        </w:rPr>
        <w:t>本書の構成：①マクロ・人口の概観、②主要データ（成長率、所得、都市化、ミドルクラス、インフラ品質）、③当社への示唆、④付録：用語定義・出典一覧。</w:t>
      </w:r>
    </w:p>
    <w:p>
      <w:r>
        <w:br w:type="page"/>
      </w:r>
    </w:p>
    <w:p>
      <w:pPr>
        <w:pStyle w:val="Heading1"/>
      </w:pPr>
      <w:r>
        <w:t>1. マクロ経済の概観</w:t>
      </w:r>
    </w:p>
    <w:p>
      <w:r>
        <w:rPr>
          <w:b w:val="0"/>
          <w:i w:val="0"/>
        </w:rPr>
        <w:t>シンガポール経済は高度に外需志向で、金融・港湾・ハイテク製造（半導体等）・ビジネスサービスが牽引する。IMF 2025年Article IV報告によれば、2024年の実質GDP成長率は4.4％まで加速した一方、2025年は世界的な通商不確実性等から1.7％へと鈍化が見込まれる。中期（2027〜2029年）には2.3〜2.5％へ収れんする見通し。物価は2024年に2.4％まで低下し、2025年は1.1％と落ち着いたインフレが想定される。名目GDPは2024年にUS$547.5bn、一人当たり名目GDPはUS$90,689で、先進国の高所得レンジに位置する。</w:t>
      </w:r>
    </w:p>
    <w:p>
      <w:pPr>
        <w:pStyle w:val="Heading2"/>
      </w:pPr>
      <w:r>
        <w:t>1.1 実質GDP成長率：直近5年の推移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3600"/>
      </w:tblGrid>
      <w:tr>
        <w:tc>
          <w:tcPr>
            <w:tcW w:type="dxa" w:w="4320"/>
          </w:tcPr>
          <w:p>
            <w:r>
              <w:rPr>
                <w:b/>
              </w:rPr>
              <w:t>年</w:t>
            </w:r>
          </w:p>
        </w:tc>
        <w:tc>
          <w:tcPr>
            <w:tcW w:type="dxa" w:w="4320"/>
          </w:tcPr>
          <w:p>
            <w:r>
              <w:rPr>
                <w:b/>
              </w:rPr>
              <w:t>実質GDP成長率（前年比, %）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-3.8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9.8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1.8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4.4</w:t>
            </w:r>
          </w:p>
        </w:tc>
      </w:tr>
    </w:tbl>
    <w:p/>
    <w:p>
      <w:pPr>
        <w:pStyle w:val="Heading2"/>
      </w:pPr>
      <w:r>
        <w:t>1.2 実質GDP成長率：今後5年の見通し（IMF）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3600"/>
      </w:tblGrid>
      <w:tr>
        <w:tc>
          <w:tcPr>
            <w:tcW w:type="dxa" w:w="4320"/>
          </w:tcPr>
          <w:p>
            <w:r>
              <w:rPr>
                <w:b/>
              </w:rPr>
              <w:t>年</w:t>
            </w:r>
          </w:p>
        </w:tc>
        <w:tc>
          <w:tcPr>
            <w:tcW w:type="dxa" w:w="4320"/>
          </w:tcPr>
          <w:p>
            <w:r>
              <w:rPr>
                <w:b/>
              </w:rPr>
              <w:t>実質GDP成長率見通し（前年比, %）</w:t>
            </w:r>
          </w:p>
        </w:tc>
      </w:tr>
      <w:tr>
        <w:tc>
          <w:tcPr>
            <w:tcW w:type="dxa" w:w="4320"/>
          </w:tcPr>
          <w:p>
            <w:r>
              <w:t>2025</w:t>
            </w:r>
          </w:p>
        </w:tc>
        <w:tc>
          <w:tcPr>
            <w:tcW w:type="dxa" w:w="4320"/>
          </w:tcPr>
          <w:p>
            <w:r>
              <w:t>1.7</w:t>
            </w:r>
          </w:p>
        </w:tc>
      </w:tr>
      <w:tr>
        <w:tc>
          <w:tcPr>
            <w:tcW w:type="dxa" w:w="4320"/>
          </w:tcPr>
          <w:p>
            <w:r>
              <w:t>2026</w:t>
            </w:r>
          </w:p>
        </w:tc>
        <w:tc>
          <w:tcPr>
            <w:tcW w:type="dxa" w:w="4320"/>
          </w:tcPr>
          <w:p>
            <w:r>
              <w:t>1.7</w:t>
            </w:r>
          </w:p>
        </w:tc>
      </w:tr>
      <w:tr>
        <w:tc>
          <w:tcPr>
            <w:tcW w:type="dxa" w:w="4320"/>
          </w:tcPr>
          <w:p>
            <w:r>
              <w:t>2027</w:t>
            </w:r>
          </w:p>
        </w:tc>
        <w:tc>
          <w:tcPr>
            <w:tcW w:type="dxa" w:w="4320"/>
          </w:tcPr>
          <w:p>
            <w:r>
              <w:t>2.3</w:t>
            </w:r>
          </w:p>
        </w:tc>
      </w:tr>
      <w:tr>
        <w:tc>
          <w:tcPr>
            <w:tcW w:type="dxa" w:w="4320"/>
          </w:tcPr>
          <w:p>
            <w:r>
              <w:t>2028</w:t>
            </w:r>
          </w:p>
        </w:tc>
        <w:tc>
          <w:tcPr>
            <w:tcW w:type="dxa" w:w="4320"/>
          </w:tcPr>
          <w:p>
            <w:r>
              <w:t>2.5</w:t>
            </w:r>
          </w:p>
        </w:tc>
      </w:tr>
      <w:tr>
        <w:tc>
          <w:tcPr>
            <w:tcW w:type="dxa" w:w="4320"/>
          </w:tcPr>
          <w:p>
            <w:r>
              <w:t>2029</w:t>
            </w:r>
          </w:p>
        </w:tc>
        <w:tc>
          <w:tcPr>
            <w:tcW w:type="dxa" w:w="4320"/>
          </w:tcPr>
          <w:p>
            <w:r>
              <w:t>2.5</w:t>
            </w:r>
          </w:p>
        </w:tc>
      </w:tr>
    </w:tbl>
    <w:p/>
    <w:p>
      <w:pPr>
        <w:pStyle w:val="Heading2"/>
      </w:pPr>
      <w:r>
        <w:t>1.3 物価動向（参考）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04"/>
        <w:gridCol w:w="3600"/>
      </w:tblGrid>
      <w:tr>
        <w:tc>
          <w:tcPr>
            <w:tcW w:type="dxa" w:w="4320"/>
          </w:tcPr>
          <w:p>
            <w:r>
              <w:rPr>
                <w:b/>
              </w:rPr>
              <w:t>年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CPIインフレ率（年平均, %）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6.1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4.8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2.4</w:t>
            </w:r>
          </w:p>
        </w:tc>
      </w:tr>
      <w:tr>
        <w:tc>
          <w:tcPr>
            <w:tcW w:type="dxa" w:w="4320"/>
          </w:tcPr>
          <w:p>
            <w:r>
              <w:t>2025（見通し）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2026（見通し）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/>
    <w:p>
      <w:r>
        <w:rPr>
          <w:b w:val="0"/>
          <w:i w:val="0"/>
        </w:rPr>
        <w:t>注：上記の実績・見通しはいずれもIMF 2025年Article IV報告（およびWEO 2025年10月版）に基づく。</w:t>
      </w:r>
    </w:p>
    <w:p>
      <w:r>
        <w:br w:type="page"/>
      </w:r>
    </w:p>
    <w:p>
      <w:pPr>
        <w:pStyle w:val="Heading1"/>
      </w:pPr>
      <w:r>
        <w:t>2. 人口・世帯構造の要点</w:t>
      </w:r>
    </w:p>
    <w:p>
      <w:r>
        <w:rPr>
          <w:b w:val="0"/>
          <w:i w:val="0"/>
        </w:rPr>
        <w:t>人口規模は約6.0百万人（2024年、IMF推計）。家族規模は小さく、核家族・単身世帯が多い。都市化率は世界的にも稀な100％であり、住宅は公共住宅（HDB）と民間住宅で構成される。ADB Basic Statisticsによる年少・老年扶養人口比率（2024年）は概ね34％で、労働年齢人口の比率が高い。</w:t>
      </w:r>
    </w:p>
    <w:p>
      <w:pPr>
        <w:pStyle w:val="Heading2"/>
      </w:pPr>
      <w:r>
        <w:t>2.1 都市化率（世界銀行）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2160"/>
      </w:tblGrid>
      <w:tr>
        <w:tc>
          <w:tcPr>
            <w:tcW w:type="dxa" w:w="4320"/>
          </w:tcPr>
          <w:p>
            <w:r>
              <w:rPr>
                <w:b/>
              </w:rPr>
              <w:t>区分</w:t>
            </w:r>
          </w:p>
        </w:tc>
        <w:tc>
          <w:tcPr>
            <w:tcW w:type="dxa" w:w="4320"/>
          </w:tcPr>
          <w:p>
            <w:r>
              <w:rPr>
                <w:b/>
              </w:rPr>
              <w:t>割合（%）</w:t>
            </w:r>
          </w:p>
        </w:tc>
      </w:tr>
      <w:tr>
        <w:tc>
          <w:tcPr>
            <w:tcW w:type="dxa" w:w="4320"/>
          </w:tcPr>
          <w:p>
            <w:r>
              <w:t>都市人口比率</w:t>
            </w:r>
          </w:p>
        </w:tc>
        <w:tc>
          <w:tcPr>
            <w:tcW w:type="dxa" w:w="4320"/>
          </w:tcPr>
          <w:p>
            <w:r>
              <w:t>100.0</w:t>
            </w:r>
          </w:p>
        </w:tc>
      </w:tr>
      <w:tr>
        <w:tc>
          <w:tcPr>
            <w:tcW w:type="dxa" w:w="4320"/>
          </w:tcPr>
          <w:p>
            <w:r>
              <w:t>農村人口比率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</w:tbl>
    <w:p/>
    <w:p>
      <w:r>
        <w:br w:type="page"/>
      </w:r>
    </w:p>
    <w:p>
      <w:pPr>
        <w:pStyle w:val="Heading1"/>
      </w:pPr>
      <w:r>
        <w:t>3. 所得水準・可処分所得</w:t>
      </w:r>
    </w:p>
    <w:p>
      <w:r>
        <w:rPr>
          <w:b w:val="0"/>
          <w:i w:val="0"/>
        </w:rPr>
        <w:t>名目一人当たりGDP（2024年）はUS$90,689（IMF）と非常に高い水準。個人可処分所得（PDI）はSingStatの四半期系列で公表されており、2024年通年合計は概ねS$348.1億。また、世帯の稼得所得の代表値として、2024年の『一人当たり世帯就業所得（中央値）』は月額S$3,615であった（雇主CPF拠出込み）。</w:t>
      </w:r>
    </w:p>
    <w:p>
      <w:pPr>
        <w:pStyle w:val="Heading2"/>
      </w:pPr>
      <w:r>
        <w:t>3.1 個人可処分所得（PDI）：四半期（2024年）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</w:tblGrid>
      <w:tr>
        <w:tc>
          <w:tcPr>
            <w:tcW w:type="dxa" w:w="4320"/>
          </w:tcPr>
          <w:p>
            <w:r>
              <w:rPr>
                <w:b/>
              </w:rPr>
              <w:t>期間</w:t>
            </w:r>
          </w:p>
        </w:tc>
        <w:tc>
          <w:tcPr>
            <w:tcW w:type="dxa" w:w="4320"/>
          </w:tcPr>
          <w:p>
            <w:r>
              <w:rPr>
                <w:b/>
              </w:rPr>
              <w:t>PDI（百万S$）</w:t>
            </w:r>
          </w:p>
        </w:tc>
      </w:tr>
      <w:tr>
        <w:tc>
          <w:tcPr>
            <w:tcW w:type="dxa" w:w="4320"/>
          </w:tcPr>
          <w:p>
            <w:r>
              <w:t>2024Q1</w:t>
            </w:r>
          </w:p>
        </w:tc>
        <w:tc>
          <w:tcPr>
            <w:tcW w:type="dxa" w:w="4320"/>
          </w:tcPr>
          <w:p>
            <w:r>
              <w:t>88,623.8</w:t>
            </w:r>
          </w:p>
        </w:tc>
      </w:tr>
      <w:tr>
        <w:tc>
          <w:tcPr>
            <w:tcW w:type="dxa" w:w="4320"/>
          </w:tcPr>
          <w:p>
            <w:r>
              <w:t>2024Q2</w:t>
            </w:r>
          </w:p>
        </w:tc>
        <w:tc>
          <w:tcPr>
            <w:tcW w:type="dxa" w:w="4320"/>
          </w:tcPr>
          <w:p>
            <w:r>
              <w:t>80,364.3</w:t>
            </w:r>
          </w:p>
        </w:tc>
      </w:tr>
      <w:tr>
        <w:tc>
          <w:tcPr>
            <w:tcW w:type="dxa" w:w="4320"/>
          </w:tcPr>
          <w:p>
            <w:r>
              <w:t>2024Q3</w:t>
            </w:r>
          </w:p>
        </w:tc>
        <w:tc>
          <w:tcPr>
            <w:tcW w:type="dxa" w:w="4320"/>
          </w:tcPr>
          <w:p>
            <w:r>
              <w:t>84,420.1</w:t>
            </w:r>
          </w:p>
        </w:tc>
      </w:tr>
      <w:tr>
        <w:tc>
          <w:tcPr>
            <w:tcW w:type="dxa" w:w="4320"/>
          </w:tcPr>
          <w:p>
            <w:r>
              <w:t>2024Q4</w:t>
            </w:r>
          </w:p>
        </w:tc>
        <w:tc>
          <w:tcPr>
            <w:tcW w:type="dxa" w:w="4320"/>
          </w:tcPr>
          <w:p>
            <w:r>
              <w:t>94,688.3</w:t>
            </w:r>
          </w:p>
        </w:tc>
      </w:tr>
      <w:tr>
        <w:tc>
          <w:tcPr>
            <w:tcW w:type="dxa" w:w="4320"/>
          </w:tcPr>
          <w:p>
            <w:r>
              <w:t>合計（年）</w:t>
            </w:r>
          </w:p>
        </w:tc>
        <w:tc>
          <w:tcPr>
            <w:tcW w:type="dxa" w:w="4320"/>
          </w:tcPr>
          <w:p>
            <w:r>
              <w:t>348,096.5</w:t>
            </w:r>
          </w:p>
        </w:tc>
      </w:tr>
    </w:tbl>
    <w:p/>
    <w:p>
      <w:pPr>
        <w:pStyle w:val="Heading2"/>
      </w:pPr>
      <w:r>
        <w:t>3.2 個人可処分所得（PDI）：一人当たり換算（概算）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888"/>
        <w:gridCol w:w="3312"/>
      </w:tblGrid>
      <w:tr>
        <w:tc>
          <w:tcPr>
            <w:tcW w:type="dxa" w:w="4320"/>
          </w:tcPr>
          <w:p>
            <w:r>
              <w:rPr>
                <w:b/>
              </w:rPr>
              <w:t>指標</w:t>
            </w:r>
          </w:p>
        </w:tc>
        <w:tc>
          <w:tcPr>
            <w:tcW w:type="dxa" w:w="4320"/>
          </w:tcPr>
          <w:p>
            <w:r>
              <w:rPr>
                <w:b/>
              </w:rPr>
              <w:t>値</w:t>
            </w:r>
          </w:p>
        </w:tc>
      </w:tr>
      <w:tr>
        <w:tc>
          <w:tcPr>
            <w:tcW w:type="dxa" w:w="4320"/>
          </w:tcPr>
          <w:p>
            <w:r>
              <w:t>人口（IMF, 2024年）</w:t>
            </w:r>
          </w:p>
        </w:tc>
        <w:tc>
          <w:tcPr>
            <w:tcW w:type="dxa" w:w="4320"/>
          </w:tcPr>
          <w:p>
            <w:r>
              <w:t>6.0 百万人</w:t>
            </w:r>
          </w:p>
        </w:tc>
      </w:tr>
      <w:tr>
        <w:tc>
          <w:tcPr>
            <w:tcW w:type="dxa" w:w="4320"/>
          </w:tcPr>
          <w:p>
            <w:r>
              <w:t>PDI（年合計）</w:t>
            </w:r>
          </w:p>
        </w:tc>
        <w:tc>
          <w:tcPr>
            <w:tcW w:type="dxa" w:w="4320"/>
          </w:tcPr>
          <w:p>
            <w:r>
              <w:t>S$348.1 十億</w:t>
            </w:r>
          </w:p>
        </w:tc>
      </w:tr>
      <w:tr>
        <w:tc>
          <w:tcPr>
            <w:tcW w:type="dxa" w:w="4320"/>
          </w:tcPr>
          <w:p>
            <w:r>
              <w:t>一人当たりPDI（年）</w:t>
            </w:r>
          </w:p>
        </w:tc>
        <w:tc>
          <w:tcPr>
            <w:tcW w:type="dxa" w:w="4320"/>
          </w:tcPr>
          <w:p>
            <w:r>
              <w:t>S$58,016 / 人・年</w:t>
            </w:r>
          </w:p>
        </w:tc>
      </w:tr>
    </w:tbl>
    <w:p/>
    <w:p>
      <w:pPr>
        <w:pStyle w:val="Heading2"/>
      </w:pPr>
      <w:r>
        <w:t>3.3 世帯就業所得（代表値）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指標</w:t>
            </w:r>
          </w:p>
        </w:tc>
        <w:tc>
          <w:tcPr>
            <w:tcW w:type="dxa" w:w="4320"/>
          </w:tcPr>
          <w:p>
            <w:r>
              <w:rPr>
                <w:b/>
              </w:rPr>
              <w:t>2024年</w:t>
            </w:r>
          </w:p>
        </w:tc>
      </w:tr>
      <w:tr>
        <w:tc>
          <w:tcPr>
            <w:tcW w:type="dxa" w:w="4320"/>
          </w:tcPr>
          <w:p>
            <w:r>
              <w:t>世帯就業所得（中央値, 月, 一人当たり）</w:t>
            </w:r>
          </w:p>
        </w:tc>
        <w:tc>
          <w:tcPr>
            <w:tcW w:type="dxa" w:w="4320"/>
          </w:tcPr>
          <w:p>
            <w:r>
              <w:t>S$3,615</w:t>
            </w:r>
          </w:p>
        </w:tc>
      </w:tr>
      <w:tr>
        <w:tc>
          <w:tcPr>
            <w:tcW w:type="dxa" w:w="4320"/>
          </w:tcPr>
          <w:p>
            <w:r>
              <w:t>備考</w:t>
            </w:r>
          </w:p>
        </w:tc>
        <w:tc>
          <w:tcPr>
            <w:tcW w:type="dxa" w:w="4320"/>
          </w:tcPr>
          <w:p>
            <w:r>
              <w:t>雇主CPF拠出を含む；SingStat『Key Household Income Trends, 2024』より</w:t>
            </w:r>
          </w:p>
        </w:tc>
      </w:tr>
    </w:tbl>
    <w:p/>
    <w:p>
      <w:r>
        <w:br w:type="page"/>
      </w:r>
    </w:p>
    <w:p>
      <w:pPr>
        <w:pStyle w:val="Heading1"/>
      </w:pPr>
      <w:r>
        <w:t>4. ミドルクラス規模・成長（定義と推計）</w:t>
      </w:r>
    </w:p>
    <w:p>
      <w:r>
        <w:rPr>
          <w:b w:val="0"/>
          <w:i w:val="0"/>
        </w:rPr>
        <w:t>「ミドルクラス」の公式統一定義は存在しないため、本レポートではADBが広く用いる絶対所得基準の一例（2017年PPPベースで一人当たり1日$10〜$100）を参考定義とする。シンガポールは高所得経済であり、世界銀行やADBの国際貧困線（$3.65／$6.85, 2017年PPP）に照らした貧困率は極めて低い。よって、同基準の『ミドルクラス相当以上』に該当する住民は実務上“ほぼ大多数”とみなせ、数量的には総人口に近似する。増加率は主として人口・世帯数のトレンドに連動し、短期的には1％前後、中期的には経済成長率（2〜2.5％）に沿った購買力の上振れが期待される。なお、相対所得基準（中央値の75〜200％等）を採る場合は分布推計が必要であり、SingStatの分位点データ（デシル／パーセンタイル）からモデル化することが可能である。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3600"/>
        <w:gridCol w:w="5760"/>
      </w:tblGrid>
      <w:tr>
        <w:tc>
          <w:tcPr>
            <w:tcW w:type="dxa" w:w="4320"/>
          </w:tcPr>
          <w:p>
            <w:r>
              <w:rPr>
                <w:b/>
              </w:rPr>
              <w:t>観点</w:t>
            </w:r>
          </w:p>
        </w:tc>
        <w:tc>
          <w:tcPr>
            <w:tcW w:type="dxa" w:w="4320"/>
          </w:tcPr>
          <w:p>
            <w:r>
              <w:rPr>
                <w:b/>
              </w:rPr>
              <w:t>内容（本レポートの前提）</w:t>
            </w:r>
          </w:p>
        </w:tc>
      </w:tr>
      <w:tr>
        <w:tc>
          <w:tcPr>
            <w:tcW w:type="dxa" w:w="4320"/>
          </w:tcPr>
          <w:p>
            <w:r>
              <w:t>定義</w:t>
            </w:r>
          </w:p>
        </w:tc>
        <w:tc>
          <w:tcPr>
            <w:tcW w:type="dxa" w:w="4320"/>
          </w:tcPr>
          <w:p>
            <w:r>
              <w:t>ADBの絶対基準（2017年PPP $10〜$100/日）を参考。</w:t>
            </w:r>
          </w:p>
        </w:tc>
      </w:tr>
      <w:tr>
        <w:tc>
          <w:tcPr>
            <w:tcW w:type="dxa" w:w="4320"/>
          </w:tcPr>
          <w:p>
            <w:r>
              <w:t>該当割合（概念）</w:t>
            </w:r>
          </w:p>
        </w:tc>
        <w:tc>
          <w:tcPr>
            <w:tcW w:type="dxa" w:w="4320"/>
          </w:tcPr>
          <w:p>
            <w:r>
              <w:t>極めて高い（“大多数”）。国際貧困線未満人口が極小のため。</w:t>
            </w:r>
          </w:p>
        </w:tc>
      </w:tr>
      <w:tr>
        <w:tc>
          <w:tcPr>
            <w:tcW w:type="dxa" w:w="4320"/>
          </w:tcPr>
          <w:p>
            <w:r>
              <w:t>成長要因</w:t>
            </w:r>
          </w:p>
        </w:tc>
        <w:tc>
          <w:tcPr>
            <w:tcW w:type="dxa" w:w="4320"/>
          </w:tcPr>
          <w:p>
            <w:r>
              <w:t>人口・世帯形成、実質所得、雇用、政府移転（再分配）等。</w:t>
            </w:r>
          </w:p>
        </w:tc>
      </w:tr>
      <w:tr>
        <w:tc>
          <w:tcPr>
            <w:tcW w:type="dxa" w:w="4320"/>
          </w:tcPr>
          <w:p>
            <w:r>
              <w:t>推計上の留意点</w:t>
            </w:r>
          </w:p>
        </w:tc>
        <w:tc>
          <w:tcPr>
            <w:tcW w:type="dxa" w:w="4320"/>
          </w:tcPr>
          <w:p>
            <w:r>
              <w:t>公式“ミドルクラス”統計は未整備。SingStatの分布データを用いた相対基準推計が実務的。</w:t>
            </w:r>
          </w:p>
        </w:tc>
      </w:tr>
    </w:tbl>
    <w:p/>
    <w:p>
      <w:r>
        <w:br w:type="page"/>
      </w:r>
    </w:p>
    <w:p>
      <w:pPr>
        <w:pStyle w:val="Heading1"/>
      </w:pPr>
      <w:r>
        <w:t>5. インフラ品質（物流・電力）</w:t>
      </w:r>
    </w:p>
    <w:p>
      <w:r>
        <w:rPr>
          <w:b w:val="0"/>
          <w:i w:val="0"/>
        </w:rPr>
        <w:t>物流：世界銀行の『Logistics Performance Index（LPI）2023』でシンガポールは総合スコア4.30/5で世界第1位（=首位）。税関手続、インフラ、物流事業者能力、追跡性、定時性の各次元で総合的に高い評価を獲得している。</w:t>
        <w:br/>
        <w:t>電力：エネルギー市場庁（EMA）の信頼度指標（SAIDI/SAIFI）は世界最高水準で、2024年のSAIDIは0.14分/顧客、2025年公表値ベースでも0.26分/顧客と極めて短い。系統信頼性は家電製品の高機能化（例：常時接続・スマート化）を支える前提条件として十分に高い。</w:t>
      </w:r>
    </w:p>
    <w:p>
      <w:pPr>
        <w:pStyle w:val="Heading2"/>
      </w:pPr>
      <w:r>
        <w:t>5.1 物流パフォーマンス（世界銀行LPI 2023）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指標</w:t>
            </w:r>
          </w:p>
        </w:tc>
        <w:tc>
          <w:tcPr>
            <w:tcW w:type="dxa" w:w="4320"/>
          </w:tcPr>
          <w:p>
            <w:r>
              <w:rPr>
                <w:b/>
              </w:rPr>
              <w:t>値</w:t>
            </w:r>
          </w:p>
        </w:tc>
      </w:tr>
      <w:tr>
        <w:tc>
          <w:tcPr>
            <w:tcW w:type="dxa" w:w="4320"/>
          </w:tcPr>
          <w:p>
            <w:r>
              <w:t>総合スコア（0〜5）</w:t>
            </w:r>
          </w:p>
        </w:tc>
        <w:tc>
          <w:tcPr>
            <w:tcW w:type="dxa" w:w="4320"/>
          </w:tcPr>
          <w:p>
            <w:r>
              <w:t>4.3</w:t>
            </w:r>
          </w:p>
        </w:tc>
      </w:tr>
      <w:tr>
        <w:tc>
          <w:tcPr>
            <w:tcW w:type="dxa" w:w="4320"/>
          </w:tcPr>
          <w:p>
            <w:r>
              <w:t>世界順位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5.2 電力系統の信頼性（EMA：SAIDI/SAIFI）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年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SAIDI（分/顧客）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SAIFI（回/顧客）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  <w:tc>
          <w:tcPr>
            <w:tcW w:type="dxa" w:w="2880"/>
          </w:tcPr>
          <w:p>
            <w:r>
              <w:t>0.006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  <w:tc>
          <w:tcPr>
            <w:tcW w:type="dxa" w:w="2880"/>
          </w:tcPr>
          <w:p>
            <w:r>
              <w:t>0.007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  <w:tc>
          <w:tcPr>
            <w:tcW w:type="dxa" w:w="2880"/>
          </w:tcPr>
          <w:p>
            <w:r>
              <w:t>0.006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0.14</w:t>
            </w:r>
          </w:p>
        </w:tc>
        <w:tc>
          <w:tcPr>
            <w:tcW w:type="dxa" w:w="2880"/>
          </w:tcPr>
          <w:p>
            <w:r>
              <w:t>0.008</w:t>
            </w:r>
          </w:p>
        </w:tc>
      </w:tr>
      <w:tr>
        <w:tc>
          <w:tcPr>
            <w:tcW w:type="dxa" w:w="2880"/>
          </w:tcPr>
          <w:p>
            <w:r>
              <w:t>2025</w:t>
            </w:r>
          </w:p>
        </w:tc>
        <w:tc>
          <w:tcPr>
            <w:tcW w:type="dxa" w:w="2880"/>
          </w:tcPr>
          <w:p>
            <w:r>
              <w:t>0.26</w:t>
            </w:r>
          </w:p>
        </w:tc>
        <w:tc>
          <w:tcPr>
            <w:tcW w:type="dxa" w:w="2880"/>
          </w:tcPr>
          <w:p>
            <w:r>
              <w:t>0.006</w:t>
            </w:r>
          </w:p>
        </w:tc>
      </w:tr>
    </w:tbl>
    <w:p/>
    <w:p>
      <w:r>
        <w:br w:type="page"/>
      </w:r>
    </w:p>
    <w:p>
      <w:pPr>
        <w:pStyle w:val="Heading1"/>
      </w:pPr>
      <w:r>
        <w:t>6. 当社への示唆（家電・電気機器）</w:t>
      </w:r>
    </w:p>
    <w:p>
      <w:r>
        <w:rPr>
          <w:b w:val="0"/>
          <w:i w:val="0"/>
        </w:rPr>
        <w:t>1) 価格帯：高所得・100％都市化・高い住環境の下、エネルギー効率・静音・デザイン性・コネクテッド機能を重視した中〜高価格帯が中心。耐久需要は成熟局面であり、置換サイクル短縮・プレミアム化・スマート化により価値創出。</w:t>
        <w:br/>
        <w:t>2) チャネル：ECの浸透と実店舗の体験価値が併存。高額帯は実店舗（体験）＋公式ECのハイブリッドが有効。法人（ホスピタリティ、不動産）へのB2B提案も有望。</w:t>
        <w:br/>
        <w:t>3) 製品：省エネ・省水・静音、コンパクト設計、多言語UI、Wi‑Fi/アプリ連携、長期保証・保守ネットワーク。スマートホーム・エネルギー管理との連携（HEMS/家電アプリ統合）を差別化要素に。</w:t>
        <w:br/>
        <w:t>4) サステナビリティ：政府の脱炭素方針に沿った高効率製品展開とリサイクル対応（EPR制度等）を整備。</w:t>
        <w:br/>
        <w:t>5) マクロ感応度：外需鈍化時でも可処分所得と再分配が緩衝材。為替（米ドル対S$）は価格戦略・原価に影響。</w:t>
      </w:r>
    </w:p>
    <w:p>
      <w:r>
        <w:br w:type="page"/>
      </w:r>
    </w:p>
    <w:p>
      <w:pPr>
        <w:pStyle w:val="Heading1"/>
      </w:pPr>
      <w:r>
        <w:t>7. リスク概観</w:t>
      </w:r>
    </w:p>
    <w:p>
      <w:r>
        <w:rPr>
          <w:b w:val="0"/>
          <w:i w:val="0"/>
        </w:rPr>
        <w:t>・外部需要ショック：世界貿易・半導体サイクル・地政学の不確実性（IMFは2025年成長の鈍化を指摘）。</w:t>
        <w:br/>
        <w:t>・コスト上昇：労務・物流・地代。現地でのサービス網構築コスト。</w:t>
        <w:br/>
        <w:t>・市場成熟：世帯保有率の高さによる一次需要の頭打ち。差別化とCXでの競争が鍵。</w:t>
        <w:br/>
        <w:t>・規制・標準：省エネ基準、通信規格、製品安全（PSB認証等）への適合コスト。</w:t>
        <w:br/>
        <w:t>・為替：米ドル基準の調達・価格に対するS$の変動。</w:t>
      </w:r>
    </w:p>
    <w:p>
      <w:r>
        <w:br w:type="page"/>
      </w:r>
    </w:p>
    <w:p>
      <w:pPr>
        <w:pStyle w:val="Heading1"/>
      </w:pPr>
      <w:r>
        <w:t>付録A：指標定義（抜粋）</w:t>
      </w:r>
    </w:p>
    <w:p>
      <w:r>
        <w:rPr>
          <w:b w:val="0"/>
          <w:i w:val="0"/>
        </w:rPr>
        <w:t>・実質GDP成長率：物価変動を除いた経済成長率。IMF WEO/Article IVに基づく。</w:t>
        <w:br/>
        <w:t>・一人当たりGDP：名目ベースの一人当たり国内総生産（US$）。</w:t>
        <w:br/>
        <w:t>・個人可処分所得（PDI）：個人部門の利子・配当・移転・税等を反映後の可処分所得。SingStatの国民経済計算系列。</w:t>
        <w:br/>
        <w:t>・世帯就業所得：就業由来の所得（雇主CPF拠出込み）。『一人当たり』は世帯人数調整済み。</w:t>
        <w:br/>
        <w:t>・都市化率：世界銀行の“Urban population (% of total)”。</w:t>
        <w:br/>
        <w:t>・ミドルクラス：ADBの絶対所得基準（2017年PPP $10〜$100/日）を参考定義。</w:t>
        <w:br/>
        <w:t>・LPI：World Bank Logistics Performance Indexの総合スコア（0〜5）と順位。</w:t>
        <w:br/>
        <w:t>・SAIDI/SAIFI：電力の平均停電時間/頻度指標（1顧客当たり、年）。</w:t>
      </w:r>
    </w:p>
    <w:p>
      <w:pPr>
        <w:pStyle w:val="Heading1"/>
      </w:pPr>
      <w:r>
        <w:t>付録B：主要数値のまとめ（再掲）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4320"/>
        <w:gridCol w:w="2880"/>
        <w:gridCol w:w="3168"/>
      </w:tblGrid>
      <w:tr>
        <w:tc>
          <w:tcPr>
            <w:tcW w:type="dxa" w:w="2160"/>
          </w:tcPr>
          <w:p>
            <w:r>
              <w:rPr>
                <w:b/>
              </w:rPr>
              <w:t>カテゴリ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指標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値（最新年）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注記</w:t>
            </w:r>
          </w:p>
        </w:tc>
      </w:tr>
      <w:tr>
        <w:tc>
          <w:tcPr>
            <w:tcW w:type="dxa" w:w="2160"/>
          </w:tcPr>
          <w:p>
            <w:r>
              <w:t>マクロ</w:t>
            </w:r>
          </w:p>
        </w:tc>
        <w:tc>
          <w:tcPr>
            <w:tcW w:type="dxa" w:w="2160"/>
          </w:tcPr>
          <w:p>
            <w:r>
              <w:t>名目GDP（2024）</w:t>
            </w:r>
          </w:p>
        </w:tc>
        <w:tc>
          <w:tcPr>
            <w:tcW w:type="dxa" w:w="2160"/>
          </w:tcPr>
          <w:p>
            <w:r>
              <w:t>US$547.5bn</w:t>
            </w:r>
          </w:p>
        </w:tc>
        <w:tc>
          <w:tcPr>
            <w:tcW w:type="dxa" w:w="2160"/>
          </w:tcPr>
          <w:p>
            <w:r>
              <w:t>IMF Article IV 2025</w:t>
            </w:r>
          </w:p>
        </w:tc>
      </w:tr>
      <w:tr>
        <w:tc>
          <w:tcPr>
            <w:tcW w:type="dxa" w:w="2160"/>
          </w:tcPr>
          <w:p>
            <w:r>
              <w:t>マクロ</w:t>
            </w:r>
          </w:p>
        </w:tc>
        <w:tc>
          <w:tcPr>
            <w:tcW w:type="dxa" w:w="2160"/>
          </w:tcPr>
          <w:p>
            <w:r>
              <w:t>一人当たりGDP（2024）</w:t>
            </w:r>
          </w:p>
        </w:tc>
        <w:tc>
          <w:tcPr>
            <w:tcW w:type="dxa" w:w="2160"/>
          </w:tcPr>
          <w:p>
            <w:r>
              <w:t>US$90,689</w:t>
            </w:r>
          </w:p>
        </w:tc>
        <w:tc>
          <w:tcPr>
            <w:tcW w:type="dxa" w:w="2160"/>
          </w:tcPr>
          <w:p>
            <w:r>
              <w:t>IMF Article IV 2025</w:t>
            </w:r>
          </w:p>
        </w:tc>
      </w:tr>
      <w:tr>
        <w:tc>
          <w:tcPr>
            <w:tcW w:type="dxa" w:w="2160"/>
          </w:tcPr>
          <w:p>
            <w:r>
              <w:t>所得</w:t>
            </w:r>
          </w:p>
        </w:tc>
        <w:tc>
          <w:tcPr>
            <w:tcW w:type="dxa" w:w="2160"/>
          </w:tcPr>
          <w:p>
            <w:r>
              <w:t>PDI合計（2024）</w:t>
            </w:r>
          </w:p>
        </w:tc>
        <w:tc>
          <w:tcPr>
            <w:tcW w:type="dxa" w:w="2160"/>
          </w:tcPr>
          <w:p>
            <w:r>
              <w:t>S$348.1十億</w:t>
            </w:r>
          </w:p>
        </w:tc>
        <w:tc>
          <w:tcPr>
            <w:tcW w:type="dxa" w:w="2160"/>
          </w:tcPr>
          <w:p>
            <w:r>
              <w:t>SingStat PDI（四半期の合算）</w:t>
            </w:r>
          </w:p>
        </w:tc>
      </w:tr>
      <w:tr>
        <w:tc>
          <w:tcPr>
            <w:tcW w:type="dxa" w:w="2160"/>
          </w:tcPr>
          <w:p>
            <w:r>
              <w:t>所得</w:t>
            </w:r>
          </w:p>
        </w:tc>
        <w:tc>
          <w:tcPr>
            <w:tcW w:type="dxa" w:w="2160"/>
          </w:tcPr>
          <w:p>
            <w:r>
              <w:t>一人当たりPDI（年, 概算）</w:t>
            </w:r>
          </w:p>
        </w:tc>
        <w:tc>
          <w:tcPr>
            <w:tcW w:type="dxa" w:w="2160"/>
          </w:tcPr>
          <w:p>
            <w:r>
              <w:t>S$58,016</w:t>
            </w:r>
          </w:p>
        </w:tc>
        <w:tc>
          <w:tcPr>
            <w:tcW w:type="dxa" w:w="2160"/>
          </w:tcPr>
          <w:p>
            <w:r>
              <w:t>人口=600万人で概算</w:t>
            </w:r>
          </w:p>
        </w:tc>
      </w:tr>
      <w:tr>
        <w:tc>
          <w:tcPr>
            <w:tcW w:type="dxa" w:w="2160"/>
          </w:tcPr>
          <w:p>
            <w:r>
              <w:t>世帯</w:t>
            </w:r>
          </w:p>
        </w:tc>
        <w:tc>
          <w:tcPr>
            <w:tcW w:type="dxa" w:w="2160"/>
          </w:tcPr>
          <w:p>
            <w:r>
              <w:t>一人当たり世帯就業所得（中央値, 月, 2024）</w:t>
            </w:r>
          </w:p>
        </w:tc>
        <w:tc>
          <w:tcPr>
            <w:tcW w:type="dxa" w:w="2160"/>
          </w:tcPr>
          <w:p>
            <w:r>
              <w:t>S$3,615</w:t>
            </w:r>
          </w:p>
        </w:tc>
        <w:tc>
          <w:tcPr>
            <w:tcW w:type="dxa" w:w="2160"/>
          </w:tcPr>
          <w:p>
            <w:r>
              <w:t>SingStat KHIT 2024</w:t>
            </w:r>
          </w:p>
        </w:tc>
      </w:tr>
      <w:tr>
        <w:tc>
          <w:tcPr>
            <w:tcW w:type="dxa" w:w="2160"/>
          </w:tcPr>
          <w:p>
            <w:r>
              <w:t>人口</w:t>
            </w:r>
          </w:p>
        </w:tc>
        <w:tc>
          <w:tcPr>
            <w:tcW w:type="dxa" w:w="2160"/>
          </w:tcPr>
          <w:p>
            <w:r>
              <w:t>都市化率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World Bank</w:t>
            </w:r>
          </w:p>
        </w:tc>
      </w:tr>
      <w:tr>
        <w:tc>
          <w:tcPr>
            <w:tcW w:type="dxa" w:w="2160"/>
          </w:tcPr>
          <w:p>
            <w:r>
              <w:t>物流</w:t>
            </w:r>
          </w:p>
        </w:tc>
        <w:tc>
          <w:tcPr>
            <w:tcW w:type="dxa" w:w="2160"/>
          </w:tcPr>
          <w:p>
            <w:r>
              <w:t>LPI総合スコア/順位（2023）</w:t>
            </w:r>
          </w:p>
        </w:tc>
        <w:tc>
          <w:tcPr>
            <w:tcW w:type="dxa" w:w="2160"/>
          </w:tcPr>
          <w:p>
            <w:r>
              <w:t>4.30 / 第1位</w:t>
            </w:r>
          </w:p>
        </w:tc>
        <w:tc>
          <w:tcPr>
            <w:tcW w:type="dxa" w:w="2160"/>
          </w:tcPr>
          <w:p>
            <w:r>
              <w:t>World Bank LPI</w:t>
            </w:r>
          </w:p>
        </w:tc>
      </w:tr>
      <w:tr>
        <w:tc>
          <w:tcPr>
            <w:tcW w:type="dxa" w:w="2160"/>
          </w:tcPr>
          <w:p>
            <w:r>
              <w:t>電力</w:t>
            </w:r>
          </w:p>
        </w:tc>
        <w:tc>
          <w:tcPr>
            <w:tcW w:type="dxa" w:w="2160"/>
          </w:tcPr>
          <w:p>
            <w:r>
              <w:t>SAIDI（2024）</w:t>
            </w:r>
          </w:p>
        </w:tc>
        <w:tc>
          <w:tcPr>
            <w:tcW w:type="dxa" w:w="2160"/>
          </w:tcPr>
          <w:p>
            <w:r>
              <w:t>0.14 分/顧客</w:t>
            </w:r>
          </w:p>
        </w:tc>
        <w:tc>
          <w:tcPr>
            <w:tcW w:type="dxa" w:w="2160"/>
          </w:tcPr>
          <w:p>
            <w:r>
              <w:t>EMA</w:t>
            </w:r>
          </w:p>
        </w:tc>
      </w:tr>
    </w:tbl>
    <w:p/>
    <w:p>
      <w:r>
        <w:br w:type="page"/>
      </w:r>
    </w:p>
    <w:p>
      <w:pPr>
        <w:pStyle w:val="Heading1"/>
      </w:pPr>
      <w:r>
        <w:t>参考文献・出典（公的ソース限定）</w:t>
      </w:r>
    </w:p>
    <w:p>
      <w:r>
        <w:rPr>
          <w:b w:val="0"/>
          <w:i w:val="0"/>
        </w:rPr>
        <w:t>・IMF（2025年10月）World Economic Outlook: Global Economy in Flux, Prospects Remain Dim. https://www.imf.org/en/Publications/WEO/Issues/2025/10/14/world-economic-outlook-october-2025</w:t>
      </w:r>
    </w:p>
    <w:p>
      <w:r>
        <w:rPr>
          <w:b w:val="0"/>
          <w:i w:val="0"/>
        </w:rPr>
        <w:t>・IMF（2025年7月）Singapore: 2025 Article IV Consultation—Press Release; Staff Report; and Statement by the Executive Director for Singapore（国別報告 No.25/192）</w:t>
      </w:r>
    </w:p>
    <w:p>
      <w:r>
        <w:rPr>
          <w:b w:val="0"/>
          <w:i w:val="0"/>
        </w:rPr>
        <w:t>・・PDF: https://www.imf.org/-/media/Files/Publications/CR/2025/English/1sgpea2025001-source-pdf.ashx</w:t>
      </w:r>
    </w:p>
    <w:p>
      <w:r>
        <w:rPr>
          <w:b w:val="0"/>
          <w:i w:val="0"/>
        </w:rPr>
        <w:t>・世界銀行（2023年）Logistics Performance Index（LPI）国別スコアカード：シンガポール https://lpi.worldbank.org/index.php/international/scorecard/radar/C/SGP/2023</w:t>
      </w:r>
    </w:p>
    <w:p>
      <w:r>
        <w:rPr>
          <w:b w:val="0"/>
          <w:i w:val="0"/>
        </w:rPr>
        <w:t>・世界銀行（データ）Urban population (% of total population) – Singapore https://data.worldbank.org/indicator/SP.URB.TOTL.IN.ZS?locations=SG</w:t>
      </w:r>
    </w:p>
    <w:p>
      <w:r>
        <w:rPr>
          <w:b w:val="0"/>
          <w:i w:val="0"/>
        </w:rPr>
        <w:t>・シンガポール統計庁（SingStat）Personal Disposable Income At Current Prices, Quarterly（四半期・現価） https://data.gov.sg/datasets/d_50877a8a962ec3f60cb61c3a69f6b22f/view</w:t>
      </w:r>
    </w:p>
    <w:p>
      <w:r>
        <w:rPr>
          <w:b w:val="0"/>
          <w:i w:val="0"/>
        </w:rPr>
        <w:t>・シンガポール統計庁（2025年2月13日）Press Release: Key Household Income Trends, 2024 https://www.singstat.gov.sg/-/media/files/news/press13022025.ashx</w:t>
      </w:r>
    </w:p>
    <w:p>
      <w:r>
        <w:rPr>
          <w:b w:val="0"/>
          <w:i w:val="0"/>
        </w:rPr>
        <w:t>・エネルギー市場庁（EMA, 2025年9月）Annual Sustainability Report 2024–2025 – Building Resilient Energy Markets and Systems（SAIDI/SAIFI） https://www.ema.gov.sg/resources/corporate-publications/annual-sustainability-report-2024-2025/building-resilient-energy-markets-and-systems</w:t>
      </w:r>
    </w:p>
    <w:p>
      <w:r>
        <w:rPr>
          <w:b w:val="0"/>
          <w:i w:val="0"/>
        </w:rPr>
        <w:t>・ADB Data Library: Singapore, Key Indicators https://data.adb.org/dataset/singapore-key-indicators</w:t>
      </w:r>
    </w:p>
    <w:p>
      <w:r>
        <w:rPr>
          <w:b w:val="0"/>
          <w:i w:val="0"/>
        </w:rPr>
        <w:t>・ADB（2025年4月）Asian Development Outlook 2025（地域見通しの参照） https://www.adb.org/outlook/editions/april-2025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